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48" w:rsidRPr="003D2C88" w:rsidRDefault="00D56748" w:rsidP="00D56748">
      <w:pPr>
        <w:tabs>
          <w:tab w:val="left" w:pos="4215"/>
        </w:tabs>
        <w:rPr>
          <w:rFonts w:ascii="Times New Roman" w:eastAsia="方正仿宋简体" w:hAnsi="Times New Roman" w:cs="Times New Roman" w:hint="eastAsia"/>
          <w:b/>
          <w:kern w:val="36"/>
          <w:sz w:val="32"/>
          <w:szCs w:val="36"/>
        </w:rPr>
      </w:pPr>
      <w:r w:rsidRPr="003D2C88">
        <w:rPr>
          <w:rFonts w:ascii="Times New Roman" w:eastAsia="方正仿宋简体" w:hAnsi="Times New Roman" w:cs="Times New Roman" w:hint="eastAsia"/>
          <w:b/>
          <w:kern w:val="36"/>
          <w:sz w:val="32"/>
          <w:szCs w:val="36"/>
        </w:rPr>
        <w:t>附件</w:t>
      </w:r>
      <w:r w:rsidRPr="003D2C88">
        <w:rPr>
          <w:rFonts w:ascii="Times New Roman" w:eastAsia="方正仿宋简体" w:hAnsi="Times New Roman" w:cs="Times New Roman" w:hint="eastAsia"/>
          <w:b/>
          <w:kern w:val="36"/>
          <w:sz w:val="32"/>
          <w:szCs w:val="36"/>
        </w:rPr>
        <w:t>2</w:t>
      </w:r>
    </w:p>
    <w:p w:rsidR="00D56748" w:rsidRPr="003D2C88" w:rsidRDefault="00D56748" w:rsidP="00D56748">
      <w:pPr>
        <w:spacing w:line="560" w:lineRule="exact"/>
        <w:jc w:val="center"/>
        <w:rPr>
          <w:rFonts w:ascii="Times New Roman" w:eastAsia="方正大标宋简体" w:hAnsi="Times New Roman" w:cs="Times New Roman" w:hint="eastAsia"/>
          <w:kern w:val="36"/>
          <w:sz w:val="36"/>
          <w:szCs w:val="36"/>
        </w:rPr>
      </w:pPr>
      <w:r w:rsidRPr="003D2C88">
        <w:rPr>
          <w:rFonts w:ascii="Times New Roman" w:eastAsia="方正大标宋简体" w:hAnsi="Times New Roman" w:cs="Times New Roman" w:hint="eastAsia"/>
          <w:kern w:val="36"/>
          <w:sz w:val="36"/>
          <w:szCs w:val="36"/>
        </w:rPr>
        <w:t>上海</w:t>
      </w:r>
      <w:r w:rsidRPr="003D2C88">
        <w:rPr>
          <w:rFonts w:ascii="Times New Roman" w:eastAsia="方正大标宋简体" w:hAnsi="Times New Roman" w:cs="Times New Roman"/>
          <w:kern w:val="36"/>
          <w:sz w:val="36"/>
          <w:szCs w:val="36"/>
        </w:rPr>
        <w:t>期货交易所</w:t>
      </w:r>
      <w:r w:rsidRPr="003D2C88">
        <w:rPr>
          <w:rFonts w:ascii="Times New Roman" w:eastAsia="方正大标宋简体" w:hAnsi="Times New Roman" w:cs="Times New Roman" w:hint="eastAsia"/>
          <w:kern w:val="36"/>
          <w:sz w:val="36"/>
          <w:szCs w:val="36"/>
        </w:rPr>
        <w:t>铝期货合约修订说明</w:t>
      </w:r>
    </w:p>
    <w:p w:rsidR="00D56748" w:rsidRPr="003D2C88" w:rsidRDefault="00D56748" w:rsidP="00D5674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3D2C88">
        <w:rPr>
          <w:rFonts w:ascii="Times New Roman" w:eastAsia="方正仿宋简体" w:hAnsi="Times New Roman" w:cs="Times New Roman"/>
          <w:color w:val="000000"/>
          <w:sz w:val="30"/>
          <w:szCs w:val="30"/>
        </w:rPr>
        <w:t>为更好服务我国</w:t>
      </w:r>
      <w:r w:rsidRPr="003D2C88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铝</w:t>
      </w:r>
      <w:r w:rsidRPr="003D2C88">
        <w:rPr>
          <w:rFonts w:ascii="Times New Roman" w:eastAsia="方正仿宋简体" w:hAnsi="Times New Roman" w:cs="Times New Roman"/>
          <w:color w:val="000000"/>
          <w:sz w:val="30"/>
          <w:szCs w:val="30"/>
        </w:rPr>
        <w:t>行业发展，促进</w:t>
      </w:r>
      <w:r w:rsidRPr="003D2C88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铝</w:t>
      </w:r>
      <w:r w:rsidRPr="003D2C88">
        <w:rPr>
          <w:rFonts w:ascii="Times New Roman" w:eastAsia="方正仿宋简体" w:hAnsi="Times New Roman" w:cs="Times New Roman"/>
          <w:color w:val="000000"/>
          <w:sz w:val="30"/>
          <w:szCs w:val="30"/>
        </w:rPr>
        <w:t>期货功能发挥，</w:t>
      </w:r>
      <w:r w:rsidRPr="003D2C88">
        <w:rPr>
          <w:rFonts w:ascii="方正仿宋简体" w:eastAsia="方正仿宋简体" w:hAnsi="仿宋" w:cs="Times New Roman" w:hint="eastAsia"/>
          <w:color w:val="000000"/>
          <w:sz w:val="30"/>
          <w:szCs w:val="30"/>
        </w:rPr>
        <w:t>实现铝期货</w:t>
      </w:r>
      <w:r w:rsidRPr="003D2C88">
        <w:rPr>
          <w:rFonts w:ascii="方正仿宋简体" w:eastAsia="方正仿宋简体" w:hAnsi="仿宋" w:cs="Times New Roman"/>
          <w:color w:val="000000"/>
          <w:sz w:val="30"/>
          <w:szCs w:val="30"/>
        </w:rPr>
        <w:t>的</w:t>
      </w:r>
      <w:r w:rsidRPr="003D2C88">
        <w:rPr>
          <w:rFonts w:ascii="方正仿宋简体" w:eastAsia="方正仿宋简体" w:hAnsi="仿宋" w:cs="Times New Roman" w:hint="eastAsia"/>
          <w:color w:val="000000"/>
          <w:sz w:val="30"/>
          <w:szCs w:val="30"/>
        </w:rPr>
        <w:t>平稳</w:t>
      </w:r>
      <w:r w:rsidRPr="003D2C88">
        <w:rPr>
          <w:rFonts w:ascii="方正仿宋简体" w:eastAsia="方正仿宋简体" w:hAnsi="仿宋" w:cs="Times New Roman"/>
          <w:color w:val="000000"/>
          <w:sz w:val="30"/>
          <w:szCs w:val="30"/>
        </w:rPr>
        <w:t>交割，</w:t>
      </w:r>
      <w:r w:rsidRPr="003D2C88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上海期货</w:t>
      </w:r>
      <w:r w:rsidRPr="003D2C88">
        <w:rPr>
          <w:rFonts w:ascii="Times New Roman" w:eastAsia="方正仿宋简体" w:hAnsi="Times New Roman" w:cs="Times New Roman"/>
          <w:color w:val="000000"/>
          <w:sz w:val="30"/>
          <w:szCs w:val="30"/>
        </w:rPr>
        <w:t>交易所根</w:t>
      </w:r>
      <w:r w:rsidRPr="003D2C88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国家市场监督管理总局</w:t>
      </w:r>
      <w:r w:rsidRPr="003D2C88">
        <w:rPr>
          <w:rFonts w:ascii="Times New Roman" w:eastAsia="方正仿宋简体" w:hAnsi="Times New Roman" w:cs="Times New Roman"/>
          <w:color w:val="000000"/>
          <w:sz w:val="30"/>
          <w:szCs w:val="30"/>
        </w:rPr>
        <w:t>和国家标准化管理委员会联合发布</w:t>
      </w:r>
      <w:r w:rsidRPr="003D2C88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并实施的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国家标准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GB/T 1196-202</w:t>
      </w:r>
      <w:r w:rsidRPr="003D2C88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Pr="003D2C88">
        <w:rPr>
          <w:rFonts w:ascii="Times New Roman" w:eastAsia="方正仿宋简体" w:hAnsi="Times New Roman" w:cs="Times New Roman"/>
          <w:color w:val="000000"/>
          <w:sz w:val="30"/>
          <w:szCs w:val="30"/>
        </w:rPr>
        <w:t>修订《上海期货交易所</w:t>
      </w:r>
      <w:r w:rsidRPr="003D2C88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铝</w:t>
      </w:r>
      <w:r w:rsidRPr="003D2C88">
        <w:rPr>
          <w:rFonts w:ascii="Times New Roman" w:eastAsia="方正仿宋简体" w:hAnsi="Times New Roman" w:cs="Times New Roman"/>
          <w:color w:val="000000"/>
          <w:sz w:val="30"/>
          <w:szCs w:val="30"/>
        </w:rPr>
        <w:t>期货合约》</w:t>
      </w:r>
      <w:r w:rsidRPr="003D2C88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及其附件</w:t>
      </w:r>
      <w:r w:rsidRPr="003D2C88">
        <w:rPr>
          <w:rFonts w:ascii="Times New Roman" w:eastAsia="方正仿宋简体" w:hAnsi="Times New Roman" w:cs="Times New Roman"/>
          <w:color w:val="000000"/>
          <w:sz w:val="30"/>
          <w:szCs w:val="30"/>
        </w:rPr>
        <w:t>，主要包括如下内容：</w:t>
      </w:r>
    </w:p>
    <w:p w:rsidR="00D56748" w:rsidRPr="003D2C88" w:rsidRDefault="00D56748" w:rsidP="00D56748">
      <w:pPr>
        <w:spacing w:line="560" w:lineRule="exact"/>
        <w:ind w:firstLine="640"/>
        <w:rPr>
          <w:rFonts w:ascii="Times New Roman" w:eastAsia="方正仿宋简体" w:hAnsi="Times New Roman" w:cs="Times New Roman"/>
          <w:sz w:val="30"/>
          <w:szCs w:val="30"/>
        </w:rPr>
      </w:pPr>
      <w:r w:rsidRPr="003D2C88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首先</w:t>
      </w:r>
      <w:r w:rsidRPr="003D2C88">
        <w:rPr>
          <w:rFonts w:ascii="Times New Roman" w:eastAsia="方正仿宋简体" w:hAnsi="Times New Roman" w:cs="Times New Roman"/>
          <w:color w:val="000000"/>
          <w:sz w:val="30"/>
          <w:szCs w:val="30"/>
        </w:rPr>
        <w:t>，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将铝期货合约中的交割品级调整为</w:t>
      </w:r>
      <w:r w:rsidRPr="003D2C88">
        <w:rPr>
          <w:rFonts w:ascii="方正仿宋简体" w:eastAsia="方正仿宋简体" w:hAnsi="Times New Roman" w:cs="Times New Roman" w:hint="eastAsia"/>
          <w:sz w:val="30"/>
          <w:szCs w:val="30"/>
        </w:rPr>
        <w:t>“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标准品：铝锭，符合国标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GB/T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1196-2023 AL99.70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规定，其中铝含量不低于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99.70%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。替代品：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、铝锭，符合国标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GB/T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1196-2023 AL99.80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，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AL99.85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规定。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、铝锭，符合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P1020A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标准。</w:t>
      </w:r>
      <w:r w:rsidRPr="003D2C88">
        <w:rPr>
          <w:rFonts w:ascii="方正仿宋简体" w:eastAsia="方正仿宋简体" w:hAnsi="Times New Roman" w:cs="Times New Roman" w:hint="eastAsia"/>
          <w:sz w:val="30"/>
          <w:szCs w:val="30"/>
        </w:rPr>
        <w:t>”</w:t>
      </w:r>
    </w:p>
    <w:p w:rsidR="00D56748" w:rsidRPr="003D2C88" w:rsidRDefault="00D56748" w:rsidP="00D56748">
      <w:pPr>
        <w:spacing w:line="560" w:lineRule="exact"/>
        <w:ind w:firstLine="640"/>
        <w:rPr>
          <w:rFonts w:ascii="方正仿宋简体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其次，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将铝期货合约附件第二条第</w:t>
      </w:r>
      <w:r w:rsidRPr="003D2C88">
        <w:rPr>
          <w:rFonts w:ascii="Times New Roman" w:eastAsia="方正仿宋简体" w:hAnsi="Times New Roman" w:cs="Times New Roman" w:hint="eastAsia"/>
          <w:sz w:val="30"/>
          <w:szCs w:val="30"/>
        </w:rPr>
        <w:t>一款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调整为</w:t>
      </w:r>
      <w:r w:rsidRPr="003D2C88">
        <w:rPr>
          <w:rFonts w:ascii="方正仿宋简体" w:eastAsia="方正仿宋简体" w:hAnsi="Times New Roman" w:cs="Times New Roman" w:hint="eastAsia"/>
          <w:sz w:val="30"/>
          <w:szCs w:val="30"/>
        </w:rPr>
        <w:t>“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用于本合约实物交割的铝，其铝含量、杂质含量和其他各项规定必须符合国标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GB/T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1196-2023 AL99.70</w:t>
      </w:r>
      <w:r w:rsidRPr="003D2C88">
        <w:rPr>
          <w:rFonts w:ascii="Times New Roman" w:eastAsia="方正仿宋简体" w:hAnsi="Times New Roman" w:cs="Times New Roman"/>
          <w:sz w:val="30"/>
          <w:szCs w:val="30"/>
        </w:rPr>
        <w:t>的规定。</w:t>
      </w:r>
      <w:r w:rsidRPr="003D2C88">
        <w:rPr>
          <w:rFonts w:ascii="方正仿宋简体" w:eastAsia="方正仿宋简体" w:hAnsi="Times New Roman" w:cs="Times New Roman" w:hint="eastAsia"/>
          <w:sz w:val="30"/>
          <w:szCs w:val="30"/>
        </w:rPr>
        <w:t>”</w:t>
      </w:r>
    </w:p>
    <w:p w:rsidR="00591070" w:rsidRDefault="00591070">
      <w:bookmarkStart w:id="0" w:name="_GoBack"/>
      <w:bookmarkEnd w:id="0"/>
    </w:p>
    <w:sectPr w:rsidR="0059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48"/>
    <w:rsid w:val="00591070"/>
    <w:rsid w:val="00D5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8F49B-9BC8-422B-A4D8-CD4E5EAC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2024-07-12T02:46:00Z</dcterms:created>
  <dcterms:modified xsi:type="dcterms:W3CDTF">2024-07-12T02:46:00Z</dcterms:modified>
</cp:coreProperties>
</file>