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F" w:rsidRPr="006D3ABD" w:rsidRDefault="00252F48">
      <w:pPr>
        <w:rPr>
          <w:rFonts w:ascii="Times New Roman" w:hAnsi="Times New Roman" w:cs="Times New Roman"/>
        </w:rPr>
      </w:pPr>
      <w:r w:rsidRPr="006D3ABD">
        <w:rPr>
          <w:rFonts w:ascii="Times New Roman" w:eastAsia="仿宋" w:hAnsi="Times New Roman" w:cs="Times New Roman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BFC2E77" wp14:editId="748F6717">
                <wp:simplePos x="0" y="0"/>
                <wp:positionH relativeFrom="margin">
                  <wp:posOffset>3997960</wp:posOffset>
                </wp:positionH>
                <wp:positionV relativeFrom="topMargin">
                  <wp:posOffset>800100</wp:posOffset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079EF" w:rsidRDefault="00252F4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63pt;width:111.1pt;height:1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" o:allowincell="f" strokecolor="red" strokeweight="1.5pt">
                <v:fill opacity="49087f"/>
                <v:textbox style="mso-fit-shape-to-text:t" inset="1mm,1mm,1mm,1mm">
                  <w:txbxContent>
                    <w:p w:rsidR="00D079EF" w:rsidRDefault="00252F48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D079EF" w:rsidRPr="006D3ABD" w:rsidRDefault="00D079EF">
      <w:pPr>
        <w:rPr>
          <w:rFonts w:ascii="Times New Roman" w:hAnsi="Times New Roman" w:cs="Times New Roman"/>
        </w:rPr>
      </w:pPr>
    </w:p>
    <w:p w:rsidR="00D079EF" w:rsidRPr="006D3ABD" w:rsidRDefault="00252F4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6D3ABD">
        <w:rPr>
          <w:rFonts w:ascii="Times New Roman" w:eastAsia="方正小标宋简体" w:hAnsi="Times New Roman" w:cs="Times New Roman"/>
          <w:sz w:val="44"/>
        </w:rPr>
        <w:t>深交所投教</w:t>
      </w:r>
      <w:proofErr w:type="gramStart"/>
      <w:r w:rsidRPr="006D3ABD">
        <w:rPr>
          <w:rFonts w:ascii="Times New Roman" w:eastAsia="方正小标宋简体" w:hAnsi="Times New Roman" w:cs="Times New Roman"/>
          <w:sz w:val="44"/>
        </w:rPr>
        <w:t>丨</w:t>
      </w:r>
      <w:proofErr w:type="gramEnd"/>
      <w:r w:rsidRPr="006D3ABD">
        <w:rPr>
          <w:rFonts w:ascii="Times New Roman" w:eastAsia="方正小标宋简体" w:hAnsi="Times New Roman" w:cs="Times New Roman"/>
          <w:sz w:val="44"/>
        </w:rPr>
        <w:t>期权入市手册（二十二）：</w:t>
      </w:r>
      <w:r w:rsidRPr="006D3ABD">
        <w:rPr>
          <w:rFonts w:ascii="Times New Roman" w:eastAsia="方正小标宋简体" w:hAnsi="Times New Roman" w:cs="Times New Roman"/>
          <w:sz w:val="44"/>
        </w:rPr>
        <w:br/>
      </w:r>
      <w:r w:rsidRPr="006D3ABD">
        <w:rPr>
          <w:rFonts w:ascii="Times New Roman" w:eastAsia="方正小标宋简体" w:hAnsi="Times New Roman" w:cs="Times New Roman"/>
          <w:sz w:val="44"/>
        </w:rPr>
        <w:t>期权常用交易策略之保险策略</w:t>
      </w:r>
    </w:p>
    <w:p w:rsidR="00D079EF" w:rsidRPr="006D3ABD" w:rsidRDefault="00D079EF">
      <w:pPr>
        <w:rPr>
          <w:rFonts w:ascii="Times New Roman" w:hAnsi="Times New Roman" w:cs="Times New Roman"/>
        </w:rPr>
      </w:pPr>
    </w:p>
    <w:p w:rsidR="00D079EF" w:rsidRPr="006D3ABD" w:rsidRDefault="00D079EF">
      <w:pPr>
        <w:rPr>
          <w:rFonts w:ascii="Times New Roman" w:hAnsi="Times New Roman" w:cs="Times New Roman"/>
        </w:rPr>
      </w:pPr>
    </w:p>
    <w:p w:rsidR="00D079EF" w:rsidRPr="006D3ABD" w:rsidRDefault="00252F48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D3ABD">
        <w:rPr>
          <w:rFonts w:ascii="Times New Roman" w:eastAsia="仿宋" w:hAnsi="Times New Roman" w:cs="Times New Roman"/>
          <w:sz w:val="32"/>
        </w:rPr>
        <w:t>编者按：</w:t>
      </w:r>
      <w:r w:rsidRPr="006D3ABD">
        <w:rPr>
          <w:rFonts w:ascii="Times New Roman" w:eastAsia="仿宋" w:hAnsi="Times New Roman" w:cs="Times New Roman"/>
          <w:sz w:val="32"/>
        </w:rPr>
        <w:t>2022</w:t>
      </w:r>
      <w:r w:rsidRPr="006D3ABD">
        <w:rPr>
          <w:rFonts w:ascii="Times New Roman" w:eastAsia="仿宋" w:hAnsi="Times New Roman" w:cs="Times New Roman"/>
          <w:sz w:val="32"/>
        </w:rPr>
        <w:t>年</w:t>
      </w:r>
      <w:r w:rsidRPr="006D3ABD">
        <w:rPr>
          <w:rFonts w:ascii="Times New Roman" w:eastAsia="仿宋" w:hAnsi="Times New Roman" w:cs="Times New Roman"/>
          <w:sz w:val="32"/>
        </w:rPr>
        <w:t>11</w:t>
      </w:r>
      <w:r w:rsidRPr="006D3ABD">
        <w:rPr>
          <w:rFonts w:ascii="Times New Roman" w:eastAsia="仿宋" w:hAnsi="Times New Roman" w:cs="Times New Roman"/>
          <w:sz w:val="32"/>
        </w:rPr>
        <w:t>月</w:t>
      </w:r>
      <w:r w:rsidRPr="006D3ABD">
        <w:rPr>
          <w:rFonts w:ascii="Times New Roman" w:eastAsia="仿宋" w:hAnsi="Times New Roman" w:cs="Times New Roman"/>
          <w:sz w:val="32"/>
        </w:rPr>
        <w:t>25</w:t>
      </w:r>
      <w:r w:rsidRPr="006D3ABD">
        <w:rPr>
          <w:rFonts w:ascii="Times New Roman" w:eastAsia="仿宋" w:hAnsi="Times New Roman" w:cs="Times New Roman"/>
          <w:sz w:val="32"/>
        </w:rPr>
        <w:t>日，中国证监会宣布启动深证</w:t>
      </w:r>
      <w:r w:rsidRPr="006D3ABD">
        <w:rPr>
          <w:rFonts w:ascii="Times New Roman" w:eastAsia="仿宋" w:hAnsi="Times New Roman" w:cs="Times New Roman"/>
          <w:sz w:val="32"/>
        </w:rPr>
        <w:t>100 ETF</w:t>
      </w:r>
      <w:r w:rsidRPr="006D3ABD">
        <w:rPr>
          <w:rFonts w:ascii="Times New Roman" w:eastAsia="仿宋" w:hAnsi="Times New Roman" w:cs="Times New Roman"/>
          <w:sz w:val="32"/>
        </w:rPr>
        <w:t>期权上市工作，深市</w:t>
      </w:r>
      <w:r w:rsidRPr="006D3ABD">
        <w:rPr>
          <w:rFonts w:ascii="Times New Roman" w:eastAsia="仿宋" w:hAnsi="Times New Roman" w:cs="Times New Roman"/>
          <w:sz w:val="32"/>
        </w:rPr>
        <w:t>ETF</w:t>
      </w:r>
      <w:r w:rsidRPr="006D3ABD">
        <w:rPr>
          <w:rFonts w:ascii="Times New Roman" w:eastAsia="仿宋" w:hAnsi="Times New Roman" w:cs="Times New Roman"/>
          <w:sz w:val="32"/>
        </w:rPr>
        <w:t>期权再添新品种。为帮助投资者系统了解期权产品特征、理性参与期权交易、有效提升风险管理能力，深交所联合市场机构推出</w:t>
      </w:r>
      <w:r w:rsidRPr="006D3ABD">
        <w:rPr>
          <w:rFonts w:ascii="Times New Roman" w:eastAsia="仿宋" w:hAnsi="Times New Roman" w:cs="Times New Roman"/>
          <w:sz w:val="32"/>
        </w:rPr>
        <w:t>“</w:t>
      </w:r>
      <w:r w:rsidRPr="006D3ABD">
        <w:rPr>
          <w:rFonts w:ascii="Times New Roman" w:eastAsia="仿宋" w:hAnsi="Times New Roman" w:cs="Times New Roman"/>
          <w:sz w:val="32"/>
        </w:rPr>
        <w:t>期权入市手册</w:t>
      </w:r>
      <w:r w:rsidRPr="006D3ABD">
        <w:rPr>
          <w:rFonts w:ascii="Times New Roman" w:eastAsia="仿宋" w:hAnsi="Times New Roman" w:cs="Times New Roman"/>
          <w:sz w:val="32"/>
        </w:rPr>
        <w:t>”</w:t>
      </w:r>
      <w:r w:rsidRPr="006D3ABD">
        <w:rPr>
          <w:rFonts w:ascii="Times New Roman" w:eastAsia="仿宋" w:hAnsi="Times New Roman" w:cs="Times New Roman"/>
          <w:sz w:val="32"/>
        </w:rPr>
        <w:t>系列连载文章。今天是第</w:t>
      </w:r>
      <w:r w:rsidRPr="006D3ABD">
        <w:rPr>
          <w:rFonts w:ascii="Times New Roman" w:eastAsia="仿宋" w:hAnsi="Times New Roman" w:cs="Times New Roman"/>
          <w:sz w:val="32"/>
        </w:rPr>
        <w:t>22</w:t>
      </w:r>
      <w:r w:rsidRPr="006D3ABD">
        <w:rPr>
          <w:rFonts w:ascii="Times New Roman" w:eastAsia="仿宋" w:hAnsi="Times New Roman" w:cs="Times New Roman"/>
          <w:sz w:val="32"/>
        </w:rPr>
        <w:t>期，让我们学习期权的常用交易策略</w:t>
      </w:r>
      <w:r w:rsidRPr="006D3ABD">
        <w:rPr>
          <w:rFonts w:ascii="Times New Roman" w:eastAsia="仿宋" w:hAnsi="Times New Roman" w:cs="Times New Roman"/>
          <w:sz w:val="32"/>
        </w:rPr>
        <w:t>——</w:t>
      </w:r>
      <w:r w:rsidRPr="006D3ABD">
        <w:rPr>
          <w:rFonts w:ascii="Times New Roman" w:eastAsia="仿宋" w:hAnsi="Times New Roman" w:cs="Times New Roman"/>
          <w:sz w:val="32"/>
        </w:rPr>
        <w:t>保险策略吧！</w:t>
      </w:r>
    </w:p>
    <w:p w:rsidR="00D079EF" w:rsidRPr="006D3ABD" w:rsidRDefault="00D079E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252F48" w:rsidRPr="006D3ABD" w:rsidRDefault="00252F48" w:rsidP="00252F48">
      <w:pPr>
        <w:pStyle w:val="3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Toc82449724"/>
      <w:bookmarkStart w:id="1" w:name="_Toc82449723"/>
      <w:bookmarkStart w:id="2" w:name="_Toc82449725"/>
      <w:bookmarkStart w:id="3" w:name="_Toc110968034"/>
      <w:bookmarkEnd w:id="0"/>
      <w:bookmarkEnd w:id="1"/>
      <w:bookmarkEnd w:id="2"/>
      <w:r w:rsidRPr="006D3ABD">
        <w:rPr>
          <w:rFonts w:ascii="Times New Roman" w:hAnsi="Times New Roman" w:cs="Times New Roman"/>
        </w:rPr>
        <w:t>如何利用期权策略应对不同的市场行情？</w:t>
      </w:r>
      <w:bookmarkEnd w:id="3"/>
    </w:p>
    <w:p w:rsidR="00252F48" w:rsidRPr="006D3ABD" w:rsidRDefault="00733ECB" w:rsidP="00252F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面对趋势市、震荡市等各种市场行情，投资者可以采用相应的期权策略来应对。</w:t>
      </w:r>
    </w:p>
    <w:p w:rsidR="00252F48" w:rsidRPr="006D3ABD" w:rsidRDefault="00252F48" w:rsidP="00252F48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预测标的价格会大涨大跌时，面对大涨，可以买入认购期权；面对大跌，可以买入认沽期权。</w:t>
      </w:r>
    </w:p>
    <w:p w:rsidR="00375B19" w:rsidRPr="006D3ABD" w:rsidRDefault="00252F48" w:rsidP="00252F48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预测标的价格会小涨小跌时，可以构建垂直价差策略。</w:t>
      </w:r>
    </w:p>
    <w:p w:rsidR="00252F48" w:rsidRPr="006D3ABD" w:rsidRDefault="00375B19" w:rsidP="00375B19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持有标的，预测标的震荡或小幅上涨</w:t>
      </w:r>
      <w:r w:rsidR="00252F48" w:rsidRPr="006D3ABD">
        <w:rPr>
          <w:rFonts w:ascii="Times New Roman" w:eastAsia="仿宋" w:hAnsi="Times New Roman" w:cs="Times New Roman"/>
          <w:sz w:val="32"/>
          <w:szCs w:val="32"/>
        </w:rPr>
        <w:t>时，可以构建备兑策略。</w:t>
      </w:r>
    </w:p>
    <w:p w:rsidR="00252F48" w:rsidRPr="006D3ABD" w:rsidRDefault="00252F48" w:rsidP="00252F48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预测标的价格会剧烈波动时，可以构建跨式策略。</w:t>
      </w:r>
    </w:p>
    <w:p w:rsidR="00252F48" w:rsidRPr="006D3ABD" w:rsidRDefault="00252F48" w:rsidP="00252F48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持有标的</w:t>
      </w:r>
      <w:r w:rsidR="00375B19" w:rsidRPr="006D3ABD">
        <w:rPr>
          <w:rFonts w:ascii="Times New Roman" w:eastAsia="仿宋" w:hAnsi="Times New Roman" w:cs="Times New Roman"/>
          <w:sz w:val="32"/>
          <w:szCs w:val="32"/>
        </w:rPr>
        <w:t>，</w:t>
      </w:r>
      <w:r w:rsidRPr="006D3ABD">
        <w:rPr>
          <w:rFonts w:ascii="Times New Roman" w:eastAsia="仿宋" w:hAnsi="Times New Roman" w:cs="Times New Roman"/>
          <w:sz w:val="32"/>
          <w:szCs w:val="32"/>
        </w:rPr>
        <w:t>希望规避下跌风险时，可以构建保险策略或领口策略。</w:t>
      </w:r>
    </w:p>
    <w:p w:rsidR="00252F48" w:rsidRPr="006D3ABD" w:rsidRDefault="00252F48" w:rsidP="00252F48">
      <w:pPr>
        <w:pStyle w:val="ab"/>
        <w:numPr>
          <w:ilvl w:val="0"/>
          <w:numId w:val="6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希望模拟标的走势时，可以使用合成策略。</w:t>
      </w:r>
    </w:p>
    <w:p w:rsidR="00252F48" w:rsidRPr="006D3ABD" w:rsidRDefault="00252F48" w:rsidP="00252F48">
      <w:pPr>
        <w:spacing w:line="560" w:lineRule="exact"/>
        <w:ind w:firstLine="643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lastRenderedPageBreak/>
        <w:t>不同使用场景下的期权策略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252F48" w:rsidRPr="006D3ABD" w:rsidTr="008331B7">
        <w:tc>
          <w:tcPr>
            <w:tcW w:w="2500" w:type="pct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使用场景</w:t>
            </w:r>
          </w:p>
        </w:tc>
        <w:tc>
          <w:tcPr>
            <w:tcW w:w="2500" w:type="pct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对应策略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标的大涨大跌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大涨：买入认购期权</w:t>
            </w:r>
          </w:p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大跌：买入认沽期权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标的小涨小跌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垂直价差策略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84379D" w:rsidP="00375B1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持有标的，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标的</w:t>
            </w:r>
            <w:r w:rsidR="00375B19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震荡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或小幅上涨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备兑策略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标的波动剧烈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做多价格：领口策略</w:t>
            </w:r>
          </w:p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做多波动率：跨式策略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持有标的怕跌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保险策略、领口策略</w:t>
            </w:r>
          </w:p>
        </w:tc>
      </w:tr>
      <w:tr w:rsidR="00252F48" w:rsidRPr="006D3ABD" w:rsidTr="008331B7"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模拟标的行情</w:t>
            </w:r>
          </w:p>
        </w:tc>
        <w:tc>
          <w:tcPr>
            <w:tcW w:w="2500" w:type="pct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合成策略</w:t>
            </w:r>
          </w:p>
        </w:tc>
      </w:tr>
    </w:tbl>
    <w:p w:rsidR="00252F48" w:rsidRPr="006D3ABD" w:rsidRDefault="00252F48" w:rsidP="00252F48">
      <w:pPr>
        <w:rPr>
          <w:rFonts w:ascii="Times New Roman" w:hAnsi="Times New Roman" w:cs="Times New Roman"/>
        </w:rPr>
      </w:pPr>
      <w:bookmarkStart w:id="4" w:name="_Toc110968035"/>
    </w:p>
    <w:p w:rsidR="00252F48" w:rsidRPr="006D3ABD" w:rsidRDefault="00252F48" w:rsidP="00252F48">
      <w:pPr>
        <w:pStyle w:val="3"/>
        <w:numPr>
          <w:ilvl w:val="0"/>
          <w:numId w:val="5"/>
        </w:numPr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t>什么是保险策略？</w:t>
      </w:r>
      <w:bookmarkEnd w:id="4"/>
    </w:p>
    <w:p w:rsidR="00252F48" w:rsidRPr="006D3ABD" w:rsidRDefault="00252F48" w:rsidP="00252F48">
      <w:pPr>
        <w:pStyle w:val="4"/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t>（</w:t>
      </w:r>
      <w:r w:rsidRPr="006D3ABD">
        <w:rPr>
          <w:rFonts w:ascii="Times New Roman" w:hAnsi="Times New Roman" w:cs="Times New Roman"/>
        </w:rPr>
        <w:t>1</w:t>
      </w:r>
      <w:r w:rsidRPr="006D3ABD">
        <w:rPr>
          <w:rFonts w:ascii="Times New Roman" w:hAnsi="Times New Roman" w:cs="Times New Roman"/>
        </w:rPr>
        <w:t>）保险策略运用场景：</w:t>
      </w:r>
    </w:p>
    <w:p w:rsidR="00252F48" w:rsidRPr="006D3ABD" w:rsidRDefault="00252F48" w:rsidP="00252F48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6D3ABD">
        <w:rPr>
          <w:rFonts w:ascii="Times New Roman" w:eastAsia="仿宋" w:hAnsi="Times New Roman" w:cs="Times New Roman"/>
          <w:sz w:val="32"/>
          <w:szCs w:val="32"/>
        </w:rPr>
        <w:instrText xml:space="preserve"> = 1 \* GB3 </w:instrText>
      </w: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separate"/>
      </w:r>
      <w:r w:rsidRPr="006D3ABD">
        <w:rPr>
          <w:rFonts w:ascii="宋体" w:eastAsia="宋体" w:hAnsi="宋体" w:cs="宋体" w:hint="eastAsia"/>
          <w:noProof/>
          <w:sz w:val="32"/>
          <w:szCs w:val="32"/>
        </w:rPr>
        <w:t>①</w:t>
      </w: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Pr="006D3ABD">
        <w:rPr>
          <w:rFonts w:ascii="Times New Roman" w:eastAsia="仿宋" w:hAnsi="Times New Roman" w:cs="Times New Roman"/>
          <w:sz w:val="32"/>
          <w:szCs w:val="32"/>
        </w:rPr>
        <w:t>计划长期持有标的证券，但短期或面临系统性下跌风险。</w:t>
      </w:r>
    </w:p>
    <w:p w:rsidR="00252F48" w:rsidRPr="006D3ABD" w:rsidRDefault="00252F48" w:rsidP="00252F48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6D3ABD">
        <w:rPr>
          <w:rFonts w:ascii="Times New Roman" w:eastAsia="仿宋" w:hAnsi="Times New Roman" w:cs="Times New Roman"/>
          <w:sz w:val="32"/>
          <w:szCs w:val="32"/>
        </w:rPr>
        <w:instrText xml:space="preserve"> = 2 \* GB3 </w:instrText>
      </w: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separate"/>
      </w:r>
      <w:r w:rsidRPr="006D3ABD">
        <w:rPr>
          <w:rFonts w:ascii="宋体" w:eastAsia="宋体" w:hAnsi="宋体" w:cs="宋体" w:hint="eastAsia"/>
          <w:noProof/>
          <w:sz w:val="32"/>
          <w:szCs w:val="32"/>
        </w:rPr>
        <w:t>②</w:t>
      </w:r>
      <w:r w:rsidRPr="006D3ABD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Pr="006D3ABD">
        <w:rPr>
          <w:rFonts w:ascii="Times New Roman" w:eastAsia="仿宋" w:hAnsi="Times New Roman" w:cs="Times New Roman"/>
          <w:sz w:val="32"/>
          <w:szCs w:val="32"/>
        </w:rPr>
        <w:t>持有标的已获利颇丰，锁定收益的同时保留潜在上行收益。</w:t>
      </w:r>
    </w:p>
    <w:p w:rsidR="00252F48" w:rsidRPr="006D3ABD" w:rsidRDefault="00252F48" w:rsidP="00252F48">
      <w:pPr>
        <w:pStyle w:val="4"/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t>（</w:t>
      </w:r>
      <w:r w:rsidRPr="006D3ABD">
        <w:rPr>
          <w:rFonts w:ascii="Times New Roman" w:hAnsi="Times New Roman" w:cs="Times New Roman"/>
        </w:rPr>
        <w:t>2</w:t>
      </w:r>
      <w:r w:rsidRPr="006D3ABD">
        <w:rPr>
          <w:rFonts w:ascii="Times New Roman" w:hAnsi="Times New Roman" w:cs="Times New Roman"/>
        </w:rPr>
        <w:t>）保险策略构建：</w:t>
      </w:r>
    </w:p>
    <w:p w:rsidR="00252F48" w:rsidRPr="006D3ABD" w:rsidRDefault="00252F48" w:rsidP="00252F48">
      <w:pPr>
        <w:ind w:firstLineChars="200" w:firstLine="640"/>
        <w:rPr>
          <w:rFonts w:ascii="Times New Roman" w:eastAsia="仿宋" w:hAnsi="Times New Roman" w:cs="Times New Roman"/>
          <w:noProof/>
          <w:sz w:val="32"/>
          <w:szCs w:val="32"/>
        </w:rPr>
      </w:pPr>
      <w:r w:rsidRPr="006D3ABD">
        <w:rPr>
          <w:rFonts w:ascii="Times New Roman" w:eastAsia="仿宋" w:hAnsi="Times New Roman" w:cs="Times New Roman"/>
          <w:noProof/>
          <w:sz w:val="32"/>
          <w:szCs w:val="32"/>
        </w:rPr>
        <w:t>持有标的</w:t>
      </w:r>
      <w:r w:rsidRPr="006D3ABD">
        <w:rPr>
          <w:rFonts w:ascii="Times New Roman" w:eastAsia="仿宋" w:hAnsi="Times New Roman" w:cs="Times New Roman"/>
          <w:noProof/>
          <w:sz w:val="32"/>
          <w:szCs w:val="32"/>
        </w:rPr>
        <w:t>+</w:t>
      </w:r>
      <w:r w:rsidRPr="006D3ABD">
        <w:rPr>
          <w:rFonts w:ascii="Times New Roman" w:eastAsia="仿宋" w:hAnsi="Times New Roman" w:cs="Times New Roman"/>
          <w:noProof/>
          <w:sz w:val="32"/>
          <w:szCs w:val="32"/>
        </w:rPr>
        <w:t>买入认沽期权</w:t>
      </w:r>
    </w:p>
    <w:p w:rsidR="00252F48" w:rsidRPr="006D3ABD" w:rsidRDefault="00252F48" w:rsidP="00252F48">
      <w:pPr>
        <w:pStyle w:val="4"/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t>（</w:t>
      </w:r>
      <w:r w:rsidRPr="006D3ABD">
        <w:rPr>
          <w:rFonts w:ascii="Times New Roman" w:hAnsi="Times New Roman" w:cs="Times New Roman"/>
        </w:rPr>
        <w:t>3</w:t>
      </w:r>
      <w:r w:rsidRPr="006D3ABD">
        <w:rPr>
          <w:rFonts w:ascii="Times New Roman" w:hAnsi="Times New Roman" w:cs="Times New Roman"/>
        </w:rPr>
        <w:t>）保险策略到期损益图：</w:t>
      </w:r>
    </w:p>
    <w:p w:rsidR="00252F48" w:rsidRPr="006D3ABD" w:rsidRDefault="00252F48" w:rsidP="00252F48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52F48" w:rsidRPr="006D3ABD" w:rsidRDefault="00252F48" w:rsidP="00252F4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hAnsi="Times New Roman" w:cs="Times New Roman"/>
          <w:noProof/>
        </w:rPr>
        <w:drawing>
          <wp:inline distT="0" distB="0" distL="0" distR="0" wp14:anchorId="3C72D1B8" wp14:editId="1BE45D22">
            <wp:extent cx="2308860" cy="1958340"/>
            <wp:effectExtent l="0" t="0" r="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48" w:rsidRPr="006D3ABD" w:rsidRDefault="00252F48" w:rsidP="00252F48">
      <w:pPr>
        <w:pStyle w:val="4"/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lastRenderedPageBreak/>
        <w:t>（</w:t>
      </w:r>
      <w:r w:rsidRPr="006D3ABD">
        <w:rPr>
          <w:rFonts w:ascii="Times New Roman" w:hAnsi="Times New Roman" w:cs="Times New Roman"/>
        </w:rPr>
        <w:t>4</w:t>
      </w:r>
      <w:r w:rsidRPr="006D3ABD">
        <w:rPr>
          <w:rFonts w:ascii="Times New Roman" w:hAnsi="Times New Roman" w:cs="Times New Roman"/>
        </w:rPr>
        <w:t>）举例说明策略损益情况：</w:t>
      </w:r>
    </w:p>
    <w:p w:rsidR="00252F48" w:rsidRPr="006D3ABD" w:rsidRDefault="00252F48" w:rsidP="00252F48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假设期初标的价格</w:t>
      </w:r>
      <w:r w:rsidR="00C258FF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C258FF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=4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元，行权价</w:t>
      </w:r>
      <w:r w:rsidRPr="006D3ABD">
        <w:rPr>
          <w:rFonts w:ascii="Times New Roman" w:eastAsia="仿宋" w:hAnsi="Times New Roman" w:cs="Times New Roman"/>
          <w:sz w:val="32"/>
          <w:szCs w:val="32"/>
        </w:rPr>
        <w:t>K=3.9</w:t>
      </w:r>
      <w:r w:rsidRPr="006D3ABD">
        <w:rPr>
          <w:rFonts w:ascii="Times New Roman" w:eastAsia="仿宋" w:hAnsi="Times New Roman" w:cs="Times New Roman"/>
          <w:sz w:val="32"/>
          <w:szCs w:val="32"/>
        </w:rPr>
        <w:t>元的近月认沽期权价格</w:t>
      </w:r>
      <w:r w:rsidR="006C14A2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6C14A2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=0.05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元。通过持有标的和买入认沽期权可构建保险策略。</w:t>
      </w:r>
    </w:p>
    <w:p w:rsidR="00252F48" w:rsidRPr="006D3ABD" w:rsidRDefault="00252F48" w:rsidP="00252F48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t>情况</w:t>
      </w:r>
      <w:proofErr w:type="gramStart"/>
      <w:r w:rsidRPr="006D3ABD">
        <w:rPr>
          <w:rFonts w:ascii="Times New Roman" w:eastAsia="仿宋" w:hAnsi="Times New Roman" w:cs="Times New Roman"/>
          <w:b/>
          <w:sz w:val="32"/>
          <w:szCs w:val="32"/>
        </w:rPr>
        <w:t>一</w:t>
      </w:r>
      <w:proofErr w:type="gramEnd"/>
      <w:r w:rsidRPr="006D3ABD">
        <w:rPr>
          <w:rFonts w:ascii="Times New Roman" w:eastAsia="仿宋" w:hAnsi="Times New Roman" w:cs="Times New Roman"/>
          <w:b/>
          <w:sz w:val="32"/>
          <w:szCs w:val="32"/>
        </w:rPr>
        <w:t>：若到期时，标的价格高于行权价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K=3.9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元</w:t>
      </w:r>
      <w:r w:rsidRPr="006D3ABD">
        <w:rPr>
          <w:rFonts w:ascii="Times New Roman" w:eastAsia="仿宋" w:hAnsi="Times New Roman" w:cs="Times New Roman"/>
          <w:sz w:val="32"/>
          <w:szCs w:val="32"/>
        </w:rPr>
        <w:t>，认沽期权没有行权价值，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1</w:t>
      </w:r>
      <w:r w:rsidRPr="006D3ABD">
        <w:rPr>
          <w:rFonts w:ascii="Times New Roman" w:eastAsia="仿宋" w:hAnsi="Times New Roman" w:cs="Times New Roman"/>
          <w:sz w:val="32"/>
          <w:szCs w:val="32"/>
        </w:rPr>
        <w:t>=0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元，买入认沽期权的损益为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1</w:t>
      </w:r>
      <w:r w:rsidR="008A722F"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 xml:space="preserve"> 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iCs/>
          <w:sz w:val="32"/>
          <w:szCs w:val="32"/>
        </w:rPr>
        <w:t>=0-0.05=-0.05</w:t>
      </w:r>
      <w:r w:rsidRPr="006D3ABD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6D3ABD">
        <w:rPr>
          <w:rFonts w:ascii="Times New Roman" w:eastAsia="仿宋" w:hAnsi="Times New Roman" w:cs="Times New Roman"/>
          <w:sz w:val="32"/>
          <w:szCs w:val="32"/>
        </w:rPr>
        <w:t>。假设到期标的价格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D3ABD">
        <w:rPr>
          <w:rFonts w:ascii="Times New Roman" w:eastAsia="仿宋" w:hAnsi="Times New Roman" w:cs="Times New Roman"/>
          <w:sz w:val="32"/>
          <w:szCs w:val="32"/>
        </w:rPr>
        <w:t>=4.2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元，标的持仓损益为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=4.2-4=0.2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元，此时保险策略的到期损益为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6D3ABD"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D3ABD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+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1</w:t>
      </w:r>
      <w:r w:rsidR="008A722F"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9E6EA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=4.2-4+0-0.05=0.15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元。随着标的上涨，买入认沽的行权价值始终为</w:t>
      </w:r>
      <w:r w:rsidRPr="006D3ABD">
        <w:rPr>
          <w:rFonts w:ascii="Times New Roman" w:eastAsia="仿宋" w:hAnsi="Times New Roman" w:cs="Times New Roman"/>
          <w:sz w:val="32"/>
          <w:szCs w:val="32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元，最大亏</w:t>
      </w:r>
      <w:bookmarkStart w:id="5" w:name="_GoBack"/>
      <w:bookmarkEnd w:id="5"/>
      <w:r w:rsidRPr="006D3ABD">
        <w:rPr>
          <w:rFonts w:ascii="Times New Roman" w:eastAsia="仿宋" w:hAnsi="Times New Roman" w:cs="Times New Roman"/>
          <w:sz w:val="32"/>
          <w:szCs w:val="32"/>
        </w:rPr>
        <w:t>损就是付出的权利</w:t>
      </w:r>
      <w:proofErr w:type="gramStart"/>
      <w:r w:rsidRPr="006D3ABD">
        <w:rPr>
          <w:rFonts w:ascii="Times New Roman" w:eastAsia="仿宋" w:hAnsi="Times New Roman" w:cs="Times New Roman"/>
          <w:sz w:val="32"/>
          <w:szCs w:val="32"/>
        </w:rPr>
        <w:t>金成本</w:t>
      </w:r>
      <w:proofErr w:type="gramEnd"/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=0.05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元，持有标的收益不断增加。因此，该保险策略</w:t>
      </w:r>
      <w:r w:rsidR="00733ECB" w:rsidRPr="006D3ABD">
        <w:rPr>
          <w:rFonts w:ascii="Times New Roman" w:eastAsia="仿宋" w:hAnsi="Times New Roman" w:cs="Times New Roman"/>
          <w:sz w:val="32"/>
          <w:szCs w:val="32"/>
        </w:rPr>
        <w:t>理论上</w:t>
      </w:r>
      <w:r w:rsidRPr="006D3ABD">
        <w:rPr>
          <w:rFonts w:ascii="Times New Roman" w:eastAsia="仿宋" w:hAnsi="Times New Roman" w:cs="Times New Roman"/>
          <w:sz w:val="32"/>
          <w:szCs w:val="32"/>
        </w:rPr>
        <w:t>向上潜在收益空间无限。</w:t>
      </w:r>
    </w:p>
    <w:p w:rsidR="00252F48" w:rsidRPr="006D3ABD" w:rsidRDefault="00252F48" w:rsidP="00252F48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t>情况二：若到期时，标的价格低于行权价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K=3.9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元</w:t>
      </w:r>
      <w:r w:rsidRPr="006D3ABD">
        <w:rPr>
          <w:rFonts w:ascii="Times New Roman" w:eastAsia="仿宋" w:hAnsi="Times New Roman" w:cs="Times New Roman"/>
          <w:sz w:val="32"/>
          <w:szCs w:val="32"/>
        </w:rPr>
        <w:t>，认沽期权具有行权价值，投资者可以按</w:t>
      </w:r>
      <w:r w:rsidRPr="006D3ABD">
        <w:rPr>
          <w:rFonts w:ascii="Times New Roman" w:eastAsia="仿宋" w:hAnsi="Times New Roman" w:cs="Times New Roman"/>
          <w:sz w:val="32"/>
          <w:szCs w:val="32"/>
        </w:rPr>
        <w:t>3.9</w:t>
      </w:r>
      <w:r w:rsidRPr="006D3ABD">
        <w:rPr>
          <w:rFonts w:ascii="Times New Roman" w:eastAsia="仿宋" w:hAnsi="Times New Roman" w:cs="Times New Roman"/>
          <w:sz w:val="32"/>
          <w:szCs w:val="32"/>
        </w:rPr>
        <w:t>元将标的行权卖出，此时，保险策略的到期损益为</w:t>
      </w:r>
      <w:r w:rsidRPr="006D3ABD">
        <w:rPr>
          <w:rFonts w:ascii="Times New Roman" w:eastAsia="仿宋" w:hAnsi="Times New Roman" w:cs="Times New Roman"/>
          <w:sz w:val="32"/>
          <w:szCs w:val="32"/>
        </w:rPr>
        <w:t>K-</w:t>
      </w:r>
      <w:r w:rsidR="000D061A" w:rsidRPr="000D061A">
        <w:rPr>
          <w:rFonts w:ascii="Times New Roman" w:eastAsia="仿宋" w:hAnsi="Times New Roman" w:cs="Times New Roman" w:hint="eastAsia"/>
          <w:i/>
          <w:sz w:val="32"/>
          <w:szCs w:val="32"/>
        </w:rPr>
        <w:t>S</w:t>
      </w:r>
      <w:r w:rsidR="000D061A" w:rsidRPr="000D061A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=3.9-4-0.05=-0.15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元，包括卖出标的</w:t>
      </w:r>
      <w:proofErr w:type="gramStart"/>
      <w:r w:rsidRPr="006D3ABD">
        <w:rPr>
          <w:rFonts w:ascii="Times New Roman" w:eastAsia="仿宋" w:hAnsi="Times New Roman" w:cs="Times New Roman"/>
          <w:sz w:val="32"/>
          <w:szCs w:val="32"/>
        </w:rPr>
        <w:t>的</w:t>
      </w:r>
      <w:proofErr w:type="gramEnd"/>
      <w:r w:rsidRPr="006D3ABD">
        <w:rPr>
          <w:rFonts w:ascii="Times New Roman" w:eastAsia="仿宋" w:hAnsi="Times New Roman" w:cs="Times New Roman"/>
          <w:sz w:val="32"/>
          <w:szCs w:val="32"/>
        </w:rPr>
        <w:t>损失</w:t>
      </w:r>
      <w:r w:rsidRPr="006D3ABD">
        <w:rPr>
          <w:rFonts w:ascii="Times New Roman" w:eastAsia="仿宋" w:hAnsi="Times New Roman" w:cs="Times New Roman"/>
          <w:sz w:val="32"/>
          <w:szCs w:val="32"/>
        </w:rPr>
        <w:t>K-</w:t>
      </w:r>
      <w:r w:rsidR="000D061A" w:rsidRPr="000D061A">
        <w:rPr>
          <w:rFonts w:ascii="Times New Roman" w:eastAsia="仿宋" w:hAnsi="Times New Roman" w:cs="Times New Roman" w:hint="eastAsia"/>
          <w:i/>
          <w:sz w:val="32"/>
          <w:szCs w:val="32"/>
        </w:rPr>
        <w:t>S</w:t>
      </w:r>
      <w:r w:rsidR="000D061A" w:rsidRPr="000D061A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=3.9-4=-0.1</w:t>
      </w:r>
      <w:r w:rsidRPr="006D3ABD">
        <w:rPr>
          <w:rFonts w:ascii="Times New Roman" w:eastAsia="仿宋" w:hAnsi="Times New Roman" w:cs="Times New Roman"/>
          <w:sz w:val="32"/>
          <w:szCs w:val="32"/>
        </w:rPr>
        <w:t>元，以及买入认沽期权的成本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=0.05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元。随着标的下跌，买入认沽的行权价值不断增加，投资者始终能以行权价</w:t>
      </w:r>
      <w:r w:rsidRPr="006D3ABD">
        <w:rPr>
          <w:rFonts w:ascii="Times New Roman" w:eastAsia="仿宋" w:hAnsi="Times New Roman" w:cs="Times New Roman"/>
          <w:sz w:val="32"/>
          <w:szCs w:val="32"/>
        </w:rPr>
        <w:t>K=3.9</w:t>
      </w:r>
      <w:r w:rsidRPr="006D3ABD">
        <w:rPr>
          <w:rFonts w:ascii="Times New Roman" w:eastAsia="仿宋" w:hAnsi="Times New Roman" w:cs="Times New Roman"/>
          <w:sz w:val="32"/>
          <w:szCs w:val="32"/>
        </w:rPr>
        <w:t>元的价格将标的卖出，在买入认沽期权上获得标的下跌收益，与持有标的下跌损失相互抵消。因此，该保险策略的最大损失为</w:t>
      </w:r>
      <w:r w:rsidRPr="006D3ABD">
        <w:rPr>
          <w:rFonts w:ascii="Times New Roman" w:eastAsia="仿宋" w:hAnsi="Times New Roman" w:cs="Times New Roman"/>
          <w:sz w:val="32"/>
          <w:szCs w:val="32"/>
        </w:rPr>
        <w:t>(K-</w:t>
      </w:r>
      <w:r w:rsidR="006C14A2" w:rsidRPr="000D061A">
        <w:rPr>
          <w:rFonts w:ascii="Times New Roman" w:eastAsia="仿宋" w:hAnsi="Times New Roman" w:cs="Times New Roman" w:hint="eastAsia"/>
          <w:i/>
          <w:sz w:val="32"/>
          <w:szCs w:val="32"/>
        </w:rPr>
        <w:t>S</w:t>
      </w:r>
      <w:r w:rsidR="006C14A2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1</w:t>
      </w:r>
      <w:r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="00E33F6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6D3ABD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0D061A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0D061A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0D061A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0D061A"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0D061A" w:rsidRPr="006D3ABD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0D061A" w:rsidRPr="006D3ABD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="000D061A">
        <w:rPr>
          <w:rFonts w:ascii="Times New Roman" w:eastAsia="仿宋" w:hAnsi="Times New Roman" w:cs="Times New Roman" w:hint="eastAsia"/>
          <w:sz w:val="32"/>
          <w:szCs w:val="32"/>
        </w:rPr>
        <w:t>）、</w:t>
      </w:r>
      <m:oMath>
        <m:r>
          <w:rPr>
            <w:rFonts w:ascii="Cambria Math" w:eastAsia="仿宋" w:hAnsi="Cambria Math" w:cs="Times New Roman"/>
            <w:sz w:val="32"/>
            <w:szCs w:val="32"/>
          </w:rPr>
          <m:t>=</m:t>
        </m:r>
      </m:oMath>
      <w:r w:rsidRPr="006D3ABD">
        <w:rPr>
          <w:rFonts w:ascii="Times New Roman" w:eastAsia="仿宋" w:hAnsi="Times New Roman" w:cs="Times New Roman"/>
          <w:sz w:val="32"/>
          <w:szCs w:val="32"/>
        </w:rPr>
        <w:t>K-</w:t>
      </w:r>
      <w:r w:rsidR="006C14A2" w:rsidRPr="000D061A">
        <w:rPr>
          <w:rFonts w:ascii="Times New Roman" w:eastAsia="仿宋" w:hAnsi="Times New Roman" w:cs="Times New Roman" w:hint="eastAsia"/>
          <w:i/>
          <w:sz w:val="32"/>
          <w:szCs w:val="32"/>
        </w:rPr>
        <w:t>S</w:t>
      </w:r>
      <w:r w:rsidR="006C14A2" w:rsidRPr="000D061A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-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</w:rPr>
        <w:t>P</w:t>
      </w:r>
      <w:r w:rsidR="00E33F6E" w:rsidRPr="009E6EAE">
        <w:rPr>
          <w:rFonts w:ascii="Times New Roman" w:eastAsia="仿宋" w:hAnsi="Times New Roman" w:cs="Times New Roman" w:hint="eastAsia"/>
          <w:i/>
          <w:sz w:val="32"/>
          <w:szCs w:val="32"/>
          <w:vertAlign w:val="subscript"/>
        </w:rPr>
        <w:t>0</w:t>
      </w:r>
      <w:r w:rsidRPr="006D3ABD">
        <w:rPr>
          <w:rFonts w:ascii="Times New Roman" w:eastAsia="仿宋" w:hAnsi="Times New Roman" w:cs="Times New Roman"/>
          <w:sz w:val="32"/>
          <w:szCs w:val="32"/>
        </w:rPr>
        <w:t>=3.9-4.0-0.05=-0.15</w:t>
      </w:r>
      <w:r w:rsidRPr="006D3ABD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252F48" w:rsidRPr="006D3ABD" w:rsidRDefault="00252F48" w:rsidP="00252F48">
      <w:pPr>
        <w:spacing w:line="56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t>保险策略损益情况分析</w:t>
      </w:r>
    </w:p>
    <w:tbl>
      <w:tblPr>
        <w:tblStyle w:val="a9"/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731"/>
        <w:gridCol w:w="4252"/>
      </w:tblGrid>
      <w:tr w:rsidR="00252F48" w:rsidRPr="006D3ABD" w:rsidTr="008331B7">
        <w:trPr>
          <w:jc w:val="center"/>
        </w:trPr>
        <w:tc>
          <w:tcPr>
            <w:tcW w:w="1668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到期情形</w:t>
            </w:r>
          </w:p>
        </w:tc>
        <w:tc>
          <w:tcPr>
            <w:tcW w:w="3731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标的价格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≥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行权价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K(3.9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元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)</w:t>
            </w:r>
          </w:p>
        </w:tc>
        <w:tc>
          <w:tcPr>
            <w:tcW w:w="4252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标的价格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&lt;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行权价</w:t>
            </w:r>
            <w:r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K</w:t>
            </w:r>
            <w:r w:rsidR="00AF5C00"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(3.9</w:t>
            </w:r>
            <w:r w:rsidR="00AF5C00"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元</w:t>
            </w:r>
            <w:r w:rsidR="00AF5C00" w:rsidRPr="006D3ABD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)</w:t>
            </w:r>
          </w:p>
        </w:tc>
      </w:tr>
      <w:tr w:rsidR="00252F48" w:rsidRPr="006D3ABD" w:rsidTr="008331B7">
        <w:trPr>
          <w:jc w:val="center"/>
        </w:trPr>
        <w:tc>
          <w:tcPr>
            <w:tcW w:w="1668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到期损益</w:t>
            </w:r>
          </w:p>
        </w:tc>
        <w:tc>
          <w:tcPr>
            <w:tcW w:w="3731" w:type="dxa"/>
            <w:vAlign w:val="center"/>
          </w:tcPr>
          <w:p w:rsidR="00252F48" w:rsidRPr="006D3ABD" w:rsidRDefault="000D061A" w:rsidP="00622F0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0D061A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S</w:t>
            </w:r>
            <w:r w:rsidRPr="000D061A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1</w:t>
            </w:r>
            <w:r w:rsidRPr="000D061A">
              <w:rPr>
                <w:rFonts w:ascii="Times New Roman" w:eastAsia="仿宋" w:hAnsi="Times New Roman" w:cs="Times New Roman"/>
                <w:sz w:val="28"/>
                <w:szCs w:val="32"/>
              </w:rPr>
              <w:t>-</w:t>
            </w:r>
            <w:r w:rsidRPr="000D061A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S</w:t>
            </w:r>
            <w:r w:rsidRPr="000D061A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0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+</w:t>
            </w:r>
            <w:r w:rsidR="008A722F" w:rsidRPr="008A722F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P</w:t>
            </w:r>
            <w:r w:rsidR="008A722F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1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-</w:t>
            </w:r>
            <w:r w:rsidR="00622F01"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P</w:t>
            </w:r>
            <w:r w:rsidR="00622F01"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0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=4.2-4+0-0.05=0.15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元</w:t>
            </w:r>
          </w:p>
        </w:tc>
        <w:tc>
          <w:tcPr>
            <w:tcW w:w="4252" w:type="dxa"/>
            <w:vAlign w:val="center"/>
          </w:tcPr>
          <w:p w:rsidR="00252F48" w:rsidRPr="006D3ABD" w:rsidRDefault="00252F48" w:rsidP="00622F0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K-</w:t>
            </w:r>
            <w:r w:rsidR="000D061A" w:rsidRPr="000D061A">
              <w:rPr>
                <w:rFonts w:ascii="Times New Roman" w:eastAsia="仿宋" w:hAnsi="Times New Roman" w:cs="Times New Roman"/>
                <w:i/>
                <w:sz w:val="28"/>
                <w:szCs w:val="32"/>
              </w:rPr>
              <w:t>S</w:t>
            </w:r>
            <w:r w:rsidR="000D061A" w:rsidRPr="000D061A">
              <w:rPr>
                <w:rFonts w:ascii="Times New Roman" w:eastAsia="仿宋" w:hAnsi="Times New Roman" w:cs="Times New Roman"/>
                <w:i/>
                <w:sz w:val="28"/>
                <w:szCs w:val="32"/>
                <w:vertAlign w:val="subscript"/>
              </w:rPr>
              <w:t>0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-</w:t>
            </w:r>
            <w:r w:rsidR="00622F01"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P</w:t>
            </w:r>
            <w:r w:rsidR="00622F01"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0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=3.9-4-0.05=-0.15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元</w:t>
            </w:r>
          </w:p>
        </w:tc>
      </w:tr>
      <w:tr w:rsidR="00252F48" w:rsidRPr="006D3ABD" w:rsidTr="008331B7">
        <w:trPr>
          <w:jc w:val="center"/>
        </w:trPr>
        <w:tc>
          <w:tcPr>
            <w:tcW w:w="1668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lastRenderedPageBreak/>
              <w:t>现货损益</w:t>
            </w:r>
          </w:p>
        </w:tc>
        <w:tc>
          <w:tcPr>
            <w:tcW w:w="3731" w:type="dxa"/>
            <w:vAlign w:val="center"/>
          </w:tcPr>
          <w:p w:rsidR="00252F48" w:rsidRPr="006D3ABD" w:rsidRDefault="000D061A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0D061A">
              <w:rPr>
                <w:rFonts w:ascii="Times New Roman" w:eastAsia="仿宋" w:hAnsi="Times New Roman" w:cs="Times New Roman"/>
                <w:i/>
                <w:sz w:val="28"/>
                <w:szCs w:val="32"/>
              </w:rPr>
              <w:t>S</w:t>
            </w:r>
            <w:r w:rsidRPr="000D061A">
              <w:rPr>
                <w:rFonts w:ascii="Times New Roman" w:eastAsia="仿宋" w:hAnsi="Times New Roman" w:cs="Times New Roman"/>
                <w:i/>
                <w:sz w:val="28"/>
                <w:szCs w:val="32"/>
                <w:vertAlign w:val="subscript"/>
              </w:rPr>
              <w:t>1</w:t>
            </w:r>
            <w:r w:rsidRPr="000D061A">
              <w:rPr>
                <w:rFonts w:ascii="Times New Roman" w:eastAsia="仿宋" w:hAnsi="Times New Roman" w:cs="Times New Roman"/>
                <w:sz w:val="28"/>
                <w:szCs w:val="32"/>
              </w:rPr>
              <w:t>-</w:t>
            </w:r>
            <w:r w:rsidRPr="000D061A">
              <w:rPr>
                <w:rFonts w:ascii="Times New Roman" w:eastAsia="仿宋" w:hAnsi="Times New Roman" w:cs="Times New Roman"/>
                <w:i/>
                <w:sz w:val="28"/>
                <w:szCs w:val="32"/>
              </w:rPr>
              <w:t>S</w:t>
            </w:r>
            <w:r w:rsidRPr="000D061A">
              <w:rPr>
                <w:rFonts w:ascii="Times New Roman" w:eastAsia="仿宋" w:hAnsi="Times New Roman" w:cs="Times New Roman"/>
                <w:i/>
                <w:sz w:val="28"/>
                <w:szCs w:val="32"/>
                <w:vertAlign w:val="subscript"/>
              </w:rPr>
              <w:t>0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=4.2-4=0.2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元</w:t>
            </w:r>
          </w:p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Cs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（继续持有标的）</w:t>
            </w:r>
          </w:p>
        </w:tc>
        <w:tc>
          <w:tcPr>
            <w:tcW w:w="4252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K-</w:t>
            </w:r>
            <w:r w:rsidR="000D061A" w:rsidRPr="000D061A">
              <w:rPr>
                <w:rFonts w:ascii="Times New Roman" w:eastAsia="仿宋" w:hAnsi="Times New Roman" w:cs="Times New Roman"/>
                <w:i/>
                <w:sz w:val="28"/>
                <w:szCs w:val="32"/>
              </w:rPr>
              <w:t>S</w:t>
            </w:r>
            <w:r w:rsidR="000D061A" w:rsidRPr="000D061A">
              <w:rPr>
                <w:rFonts w:ascii="Times New Roman" w:eastAsia="仿宋" w:hAnsi="Times New Roman" w:cs="Times New Roman"/>
                <w:i/>
                <w:sz w:val="28"/>
                <w:szCs w:val="32"/>
                <w:vertAlign w:val="subscript"/>
              </w:rPr>
              <w:t>0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=3.9-4=-0.1</w:t>
            </w: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元</w:t>
            </w:r>
          </w:p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（以行权价卖出标的）</w:t>
            </w:r>
          </w:p>
        </w:tc>
      </w:tr>
      <w:tr w:rsidR="00252F48" w:rsidRPr="006D3ABD" w:rsidTr="008331B7">
        <w:trPr>
          <w:jc w:val="center"/>
        </w:trPr>
        <w:tc>
          <w:tcPr>
            <w:tcW w:w="1668" w:type="dxa"/>
            <w:vAlign w:val="center"/>
          </w:tcPr>
          <w:p w:rsidR="00252F48" w:rsidRPr="006D3ABD" w:rsidRDefault="00252F48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期权成本</w:t>
            </w:r>
          </w:p>
        </w:tc>
        <w:tc>
          <w:tcPr>
            <w:tcW w:w="7983" w:type="dxa"/>
            <w:gridSpan w:val="2"/>
            <w:vAlign w:val="center"/>
          </w:tcPr>
          <w:p w:rsidR="00252F48" w:rsidRPr="006D3ABD" w:rsidRDefault="00622F01" w:rsidP="008331B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</w:rPr>
              <w:t>P</w:t>
            </w:r>
            <w:r w:rsidRPr="00622F01">
              <w:rPr>
                <w:rFonts w:ascii="Times New Roman" w:eastAsia="仿宋" w:hAnsi="Times New Roman" w:cs="Times New Roman" w:hint="eastAsia"/>
                <w:i/>
                <w:sz w:val="28"/>
                <w:szCs w:val="32"/>
                <w:vertAlign w:val="subscript"/>
              </w:rPr>
              <w:t>0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=0.05</w:t>
            </w:r>
            <w:r w:rsidR="00252F48" w:rsidRPr="006D3ABD">
              <w:rPr>
                <w:rFonts w:ascii="Times New Roman" w:eastAsia="仿宋" w:hAnsi="Times New Roman" w:cs="Times New Roman"/>
                <w:sz w:val="28"/>
                <w:szCs w:val="32"/>
              </w:rPr>
              <w:t>元</w:t>
            </w:r>
          </w:p>
        </w:tc>
      </w:tr>
    </w:tbl>
    <w:p w:rsidR="00252F48" w:rsidRPr="006D3ABD" w:rsidRDefault="00252F48" w:rsidP="00252F48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sz w:val="32"/>
          <w:szCs w:val="32"/>
        </w:rPr>
        <w:t>综上，期权保险策略为下行亏损风险有限、上行潜在收益无限的到期损益结构。</w:t>
      </w:r>
    </w:p>
    <w:p w:rsidR="00252F48" w:rsidRPr="006D3ABD" w:rsidRDefault="00252F48" w:rsidP="00252F48">
      <w:pPr>
        <w:pStyle w:val="4"/>
        <w:rPr>
          <w:rFonts w:ascii="Times New Roman" w:hAnsi="Times New Roman" w:cs="Times New Roman"/>
        </w:rPr>
      </w:pPr>
      <w:r w:rsidRPr="006D3ABD">
        <w:rPr>
          <w:rFonts w:ascii="Times New Roman" w:hAnsi="Times New Roman" w:cs="Times New Roman"/>
        </w:rPr>
        <w:t>（</w:t>
      </w:r>
      <w:r w:rsidRPr="006D3ABD">
        <w:rPr>
          <w:rFonts w:ascii="Times New Roman" w:hAnsi="Times New Roman" w:cs="Times New Roman"/>
        </w:rPr>
        <w:t>5</w:t>
      </w:r>
      <w:r w:rsidRPr="006D3ABD">
        <w:rPr>
          <w:rFonts w:ascii="Times New Roman" w:hAnsi="Times New Roman" w:cs="Times New Roman"/>
        </w:rPr>
        <w:t>）保险策略注意事项：</w:t>
      </w:r>
    </w:p>
    <w:p w:rsidR="00252F48" w:rsidRPr="006D3ABD" w:rsidRDefault="00252F48" w:rsidP="00252F48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begin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instrText xml:space="preserve"> = 1 \* GB3 </w:instrTex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separate"/>
      </w:r>
      <w:r w:rsidRPr="006D3ABD">
        <w:rPr>
          <w:rFonts w:ascii="宋体" w:eastAsia="宋体" w:hAnsi="宋体" w:cs="宋体" w:hint="eastAsia"/>
          <w:b/>
          <w:noProof/>
          <w:sz w:val="32"/>
          <w:szCs w:val="32"/>
        </w:rPr>
        <w:t>①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end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合约数量关系</w:t>
      </w:r>
      <w:r w:rsidRPr="006D3ABD">
        <w:rPr>
          <w:rFonts w:ascii="Times New Roman" w:eastAsia="仿宋" w:hAnsi="Times New Roman" w:cs="Times New Roman"/>
          <w:sz w:val="32"/>
          <w:szCs w:val="32"/>
        </w:rPr>
        <w:t>（以沪深</w:t>
      </w:r>
      <w:r w:rsidRPr="006D3ABD">
        <w:rPr>
          <w:rFonts w:ascii="Times New Roman" w:eastAsia="仿宋" w:hAnsi="Times New Roman" w:cs="Times New Roman"/>
          <w:sz w:val="32"/>
          <w:szCs w:val="32"/>
        </w:rPr>
        <w:t>300ETF</w:t>
      </w:r>
      <w:r w:rsidRPr="006D3ABD">
        <w:rPr>
          <w:rFonts w:ascii="Times New Roman" w:eastAsia="仿宋" w:hAnsi="Times New Roman" w:cs="Times New Roman"/>
          <w:sz w:val="32"/>
          <w:szCs w:val="32"/>
        </w:rPr>
        <w:t>为例）：</w:t>
      </w:r>
      <w:r w:rsidRPr="006D3ABD">
        <w:rPr>
          <w:rFonts w:ascii="Times New Roman" w:eastAsia="仿宋" w:hAnsi="Times New Roman" w:cs="Times New Roman"/>
          <w:sz w:val="32"/>
          <w:szCs w:val="32"/>
        </w:rPr>
        <w:t>10000</w:t>
      </w:r>
      <w:r w:rsidRPr="006D3ABD">
        <w:rPr>
          <w:rFonts w:ascii="Times New Roman" w:eastAsia="仿宋" w:hAnsi="Times New Roman" w:cs="Times New Roman"/>
          <w:sz w:val="32"/>
          <w:szCs w:val="32"/>
        </w:rPr>
        <w:t>份沪深</w:t>
      </w:r>
      <w:r w:rsidRPr="006D3ABD">
        <w:rPr>
          <w:rFonts w:ascii="Times New Roman" w:eastAsia="仿宋" w:hAnsi="Times New Roman" w:cs="Times New Roman"/>
          <w:sz w:val="32"/>
          <w:szCs w:val="32"/>
        </w:rPr>
        <w:t>300ETF</w:t>
      </w:r>
      <w:r w:rsidRPr="006D3ABD">
        <w:rPr>
          <w:rFonts w:ascii="Times New Roman" w:eastAsia="仿宋" w:hAnsi="Times New Roman" w:cs="Times New Roman"/>
          <w:sz w:val="32"/>
          <w:szCs w:val="32"/>
        </w:rPr>
        <w:t>对应一张认沽期权。</w:t>
      </w:r>
    </w:p>
    <w:p w:rsidR="00252F48" w:rsidRPr="006D3ABD" w:rsidRDefault="00252F48" w:rsidP="00252F48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begin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instrText xml:space="preserve"> = 2 \* GB3 </w:instrTex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separate"/>
      </w:r>
      <w:r w:rsidRPr="006D3ABD">
        <w:rPr>
          <w:rFonts w:ascii="宋体" w:eastAsia="宋体" w:hAnsi="宋体" w:cs="宋体" w:hint="eastAsia"/>
          <w:b/>
          <w:noProof/>
          <w:sz w:val="32"/>
          <w:szCs w:val="32"/>
        </w:rPr>
        <w:t>②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end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行权价的选择</w:t>
      </w:r>
      <w:r w:rsidRPr="006D3ABD">
        <w:rPr>
          <w:rFonts w:ascii="Times New Roman" w:eastAsia="仿宋" w:hAnsi="Times New Roman" w:cs="Times New Roman"/>
          <w:sz w:val="32"/>
          <w:szCs w:val="32"/>
        </w:rPr>
        <w:t>：一般选择平值</w:t>
      </w:r>
      <w:proofErr w:type="gramStart"/>
      <w:r w:rsidRPr="006D3ABD">
        <w:rPr>
          <w:rFonts w:ascii="Times New Roman" w:eastAsia="仿宋" w:hAnsi="Times New Roman" w:cs="Times New Roman"/>
          <w:sz w:val="32"/>
          <w:szCs w:val="32"/>
        </w:rPr>
        <w:t>或虚值的</w:t>
      </w:r>
      <w:proofErr w:type="gramEnd"/>
      <w:r w:rsidRPr="006D3ABD">
        <w:rPr>
          <w:rFonts w:ascii="Times New Roman" w:eastAsia="仿宋" w:hAnsi="Times New Roman" w:cs="Times New Roman"/>
          <w:sz w:val="32"/>
          <w:szCs w:val="32"/>
        </w:rPr>
        <w:t>合约。认沽期权行权价越低，</w:t>
      </w:r>
      <w:proofErr w:type="gramStart"/>
      <w:r w:rsidRPr="006D3ABD">
        <w:rPr>
          <w:rFonts w:ascii="Times New Roman" w:eastAsia="仿宋" w:hAnsi="Times New Roman" w:cs="Times New Roman"/>
          <w:sz w:val="32"/>
          <w:szCs w:val="32"/>
        </w:rPr>
        <w:t>虚值程度</w:t>
      </w:r>
      <w:proofErr w:type="gramEnd"/>
      <w:r w:rsidRPr="006D3ABD">
        <w:rPr>
          <w:rFonts w:ascii="Times New Roman" w:eastAsia="仿宋" w:hAnsi="Times New Roman" w:cs="Times New Roman"/>
          <w:sz w:val="32"/>
          <w:szCs w:val="32"/>
        </w:rPr>
        <w:t>越大，购买合约的成本越低，但同时保险效果越弱。因此，选择保险策略认沽期权行权价时，需要权衡保险费（期权权利金）和保险效果。</w:t>
      </w:r>
    </w:p>
    <w:p w:rsidR="00252F48" w:rsidRPr="006D3ABD" w:rsidRDefault="00252F48" w:rsidP="00252F48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begin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instrText xml:space="preserve"> = 3 \* GB3 </w:instrTex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separate"/>
      </w:r>
      <w:r w:rsidRPr="006D3ABD">
        <w:rPr>
          <w:rFonts w:ascii="宋体" w:eastAsia="宋体" w:hAnsi="宋体" w:cs="宋体" w:hint="eastAsia"/>
          <w:b/>
          <w:noProof/>
          <w:sz w:val="32"/>
          <w:szCs w:val="32"/>
        </w:rPr>
        <w:t>③</w:t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fldChar w:fldCharType="end"/>
      </w:r>
      <w:r w:rsidRPr="006D3ABD">
        <w:rPr>
          <w:rFonts w:ascii="Times New Roman" w:eastAsia="仿宋" w:hAnsi="Times New Roman" w:cs="Times New Roman"/>
          <w:b/>
          <w:sz w:val="32"/>
          <w:szCs w:val="32"/>
        </w:rPr>
        <w:t>合约期限选择</w:t>
      </w:r>
      <w:r w:rsidRPr="006D3ABD">
        <w:rPr>
          <w:rFonts w:ascii="Times New Roman" w:eastAsia="仿宋" w:hAnsi="Times New Roman" w:cs="Times New Roman"/>
          <w:sz w:val="32"/>
          <w:szCs w:val="32"/>
        </w:rPr>
        <w:t>：考虑到期权合约的流动性情况，一般选择当月或者下月合约进行交易。若投资者打算长期为标的持仓提供保险，可在当月合约临近到期时，逐步</w:t>
      </w:r>
      <w:proofErr w:type="gramStart"/>
      <w:r w:rsidRPr="006D3ABD">
        <w:rPr>
          <w:rFonts w:ascii="Times New Roman" w:eastAsia="仿宋" w:hAnsi="Times New Roman" w:cs="Times New Roman"/>
          <w:sz w:val="32"/>
          <w:szCs w:val="32"/>
        </w:rPr>
        <w:t>移仓至下月</w:t>
      </w:r>
      <w:proofErr w:type="gramEnd"/>
      <w:r w:rsidRPr="006D3ABD">
        <w:rPr>
          <w:rFonts w:ascii="Times New Roman" w:eastAsia="仿宋" w:hAnsi="Times New Roman" w:cs="Times New Roman"/>
          <w:sz w:val="32"/>
          <w:szCs w:val="32"/>
        </w:rPr>
        <w:t>合约。</w:t>
      </w:r>
    </w:p>
    <w:p w:rsidR="00D079EF" w:rsidRPr="006D3ABD" w:rsidRDefault="00D079E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079EF" w:rsidRPr="006D3ABD" w:rsidRDefault="00D079E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079EF" w:rsidRPr="006D3ABD" w:rsidRDefault="00252F48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D3ABD">
        <w:rPr>
          <w:rFonts w:ascii="Times New Roman" w:eastAsia="仿宋" w:hAnsi="Times New Roman" w:cs="Times New Roman"/>
          <w:sz w:val="32"/>
        </w:rPr>
        <w:t>（</w:t>
      </w:r>
      <w:r w:rsidRPr="006D3ABD">
        <w:rPr>
          <w:rFonts w:ascii="Times New Roman" w:eastAsia="仿宋" w:hAnsi="Times New Roman" w:cs="Times New Roman"/>
          <w:sz w:val="32"/>
        </w:rPr>
        <w:t>“</w:t>
      </w:r>
      <w:r w:rsidRPr="006D3ABD">
        <w:rPr>
          <w:rFonts w:ascii="Times New Roman" w:eastAsia="仿宋" w:hAnsi="Times New Roman" w:cs="Times New Roman"/>
          <w:sz w:val="32"/>
        </w:rPr>
        <w:t>期权入市手册</w:t>
      </w:r>
      <w:r w:rsidRPr="006D3ABD">
        <w:rPr>
          <w:rFonts w:ascii="Times New Roman" w:eastAsia="仿宋" w:hAnsi="Times New Roman" w:cs="Times New Roman"/>
          <w:sz w:val="32"/>
        </w:rPr>
        <w:t>”</w:t>
      </w:r>
      <w:r w:rsidRPr="006D3ABD">
        <w:rPr>
          <w:rFonts w:ascii="Times New Roman" w:eastAsia="仿宋" w:hAnsi="Times New Roman" w:cs="Times New Roman"/>
          <w:sz w:val="32"/>
        </w:rPr>
        <w:t>系列文章支持单位：广发证券、国泰君安证券、华泰证券、嘉实基金、易方达基金、招商证券、中</w:t>
      </w:r>
      <w:proofErr w:type="gramStart"/>
      <w:r w:rsidRPr="006D3ABD">
        <w:rPr>
          <w:rFonts w:ascii="Times New Roman" w:eastAsia="仿宋" w:hAnsi="Times New Roman" w:cs="Times New Roman"/>
          <w:sz w:val="32"/>
        </w:rPr>
        <w:t>信建投证券</w:t>
      </w:r>
      <w:proofErr w:type="gramEnd"/>
      <w:r w:rsidRPr="006D3ABD">
        <w:rPr>
          <w:rFonts w:ascii="Times New Roman" w:eastAsia="仿宋" w:hAnsi="Times New Roman" w:cs="Times New Roman"/>
          <w:sz w:val="32"/>
        </w:rPr>
        <w:t>（按音序排列，排名不分先后））</w:t>
      </w:r>
    </w:p>
    <w:p w:rsidR="00D079EF" w:rsidRPr="006D3ABD" w:rsidRDefault="00D079E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079EF" w:rsidRPr="006D3ABD" w:rsidRDefault="00252F48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D3ABD">
        <w:rPr>
          <w:rFonts w:ascii="Times New Roman" w:eastAsia="仿宋" w:hAnsi="Times New Roman" w:cs="Times New Roman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</w:t>
      </w:r>
      <w:r w:rsidRPr="006D3ABD">
        <w:rPr>
          <w:rFonts w:ascii="Times New Roman" w:eastAsia="仿宋" w:hAnsi="Times New Roman" w:cs="Times New Roman"/>
          <w:sz w:val="32"/>
        </w:rPr>
        <w:lastRenderedPageBreak/>
        <w:t>性做出任何保证，对因使用本文引发的损失不承担责任。）</w:t>
      </w:r>
    </w:p>
    <w:sectPr w:rsidR="00D079EF" w:rsidRPr="006D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23F"/>
    <w:multiLevelType w:val="hybridMultilevel"/>
    <w:tmpl w:val="AB3A7900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4B13C63"/>
    <w:multiLevelType w:val="hybridMultilevel"/>
    <w:tmpl w:val="ACB88642"/>
    <w:lvl w:ilvl="0" w:tplc="280E2E8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04652C"/>
    <w:multiLevelType w:val="hybridMultilevel"/>
    <w:tmpl w:val="2A4893AC"/>
    <w:lvl w:ilvl="0" w:tplc="682AA7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43B3E"/>
    <w:multiLevelType w:val="hybridMultilevel"/>
    <w:tmpl w:val="06B83AEC"/>
    <w:lvl w:ilvl="0" w:tplc="8B4C7C58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2265D5"/>
    <w:multiLevelType w:val="hybridMultilevel"/>
    <w:tmpl w:val="D69A52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B3E69BC"/>
    <w:multiLevelType w:val="multilevel"/>
    <w:tmpl w:val="6B3E69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5881"/>
    <w:rsid w:val="00073B27"/>
    <w:rsid w:val="000850D4"/>
    <w:rsid w:val="000D061A"/>
    <w:rsid w:val="000E658A"/>
    <w:rsid w:val="001370D7"/>
    <w:rsid w:val="00146DC5"/>
    <w:rsid w:val="0020392E"/>
    <w:rsid w:val="0024036E"/>
    <w:rsid w:val="00247FF4"/>
    <w:rsid w:val="00252F48"/>
    <w:rsid w:val="00254873"/>
    <w:rsid w:val="00273878"/>
    <w:rsid w:val="002B4453"/>
    <w:rsid w:val="00317C9E"/>
    <w:rsid w:val="0032412C"/>
    <w:rsid w:val="003307EE"/>
    <w:rsid w:val="00375B19"/>
    <w:rsid w:val="003960F1"/>
    <w:rsid w:val="003B3D62"/>
    <w:rsid w:val="003E1D15"/>
    <w:rsid w:val="00427DEB"/>
    <w:rsid w:val="004352D8"/>
    <w:rsid w:val="00485D85"/>
    <w:rsid w:val="004A65EE"/>
    <w:rsid w:val="00546261"/>
    <w:rsid w:val="00575795"/>
    <w:rsid w:val="00590C44"/>
    <w:rsid w:val="005A5EA9"/>
    <w:rsid w:val="005C3FBE"/>
    <w:rsid w:val="00603685"/>
    <w:rsid w:val="00622F01"/>
    <w:rsid w:val="00656AAF"/>
    <w:rsid w:val="006C14A2"/>
    <w:rsid w:val="006D3ABD"/>
    <w:rsid w:val="006D73C9"/>
    <w:rsid w:val="006E4189"/>
    <w:rsid w:val="00721163"/>
    <w:rsid w:val="00733ECB"/>
    <w:rsid w:val="00764E15"/>
    <w:rsid w:val="007A2313"/>
    <w:rsid w:val="007F1C7C"/>
    <w:rsid w:val="00827545"/>
    <w:rsid w:val="0084379D"/>
    <w:rsid w:val="00872572"/>
    <w:rsid w:val="00894823"/>
    <w:rsid w:val="008A722F"/>
    <w:rsid w:val="00922D35"/>
    <w:rsid w:val="00924E1A"/>
    <w:rsid w:val="00995CCF"/>
    <w:rsid w:val="009E6EAE"/>
    <w:rsid w:val="00A12A83"/>
    <w:rsid w:val="00AB4FF2"/>
    <w:rsid w:val="00AF5C00"/>
    <w:rsid w:val="00B044AC"/>
    <w:rsid w:val="00B44386"/>
    <w:rsid w:val="00B46E54"/>
    <w:rsid w:val="00B47BC0"/>
    <w:rsid w:val="00B51E4A"/>
    <w:rsid w:val="00BA0416"/>
    <w:rsid w:val="00BD6D25"/>
    <w:rsid w:val="00BF607F"/>
    <w:rsid w:val="00C16D94"/>
    <w:rsid w:val="00C258FF"/>
    <w:rsid w:val="00C628EA"/>
    <w:rsid w:val="00CD5C62"/>
    <w:rsid w:val="00CF24AA"/>
    <w:rsid w:val="00CF7092"/>
    <w:rsid w:val="00D01035"/>
    <w:rsid w:val="00D047F1"/>
    <w:rsid w:val="00D079EF"/>
    <w:rsid w:val="00D1195D"/>
    <w:rsid w:val="00D41A29"/>
    <w:rsid w:val="00D46AED"/>
    <w:rsid w:val="00D61301"/>
    <w:rsid w:val="00D71F31"/>
    <w:rsid w:val="00D7504F"/>
    <w:rsid w:val="00D801F4"/>
    <w:rsid w:val="00DE5EF0"/>
    <w:rsid w:val="00E023EA"/>
    <w:rsid w:val="00E04C3C"/>
    <w:rsid w:val="00E33F6E"/>
    <w:rsid w:val="00EA54BE"/>
    <w:rsid w:val="00EC7ADB"/>
    <w:rsid w:val="00EE09A0"/>
    <w:rsid w:val="00EE5C26"/>
    <w:rsid w:val="00EF0751"/>
    <w:rsid w:val="00EF72FB"/>
    <w:rsid w:val="00F05D98"/>
    <w:rsid w:val="00F26F8B"/>
    <w:rsid w:val="00F5542B"/>
    <w:rsid w:val="00F64A9F"/>
    <w:rsid w:val="00F87F67"/>
    <w:rsid w:val="00FC7F84"/>
    <w:rsid w:val="00FD2CDF"/>
    <w:rsid w:val="01D8609C"/>
    <w:rsid w:val="201B7EE2"/>
    <w:rsid w:val="48B82223"/>
    <w:rsid w:val="50A36568"/>
    <w:rsid w:val="52C965C3"/>
    <w:rsid w:val="5D246FEE"/>
    <w:rsid w:val="686C4009"/>
    <w:rsid w:val="6BB700EA"/>
    <w:rsid w:val="6F5D389D"/>
    <w:rsid w:val="6FD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2F48"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2F48"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252F48"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252F48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252F48"/>
    <w:rPr>
      <w:rFonts w:ascii="楷体" w:eastAsia="楷体" w:hAnsi="楷体" w:cstheme="majorBidi"/>
      <w:bCs/>
      <w:kern w:val="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2F48"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2F48"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252F48"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252F48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252F48"/>
    <w:rPr>
      <w:rFonts w:ascii="楷体" w:eastAsia="楷体" w:hAnsi="楷体" w:cstheme="majorBidi"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078D6-F60E-4CD6-834C-F0E07C4F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陈洁</dc:creator>
  <cp:lastModifiedBy>陈洁</cp:lastModifiedBy>
  <cp:revision>4</cp:revision>
  <dcterms:created xsi:type="dcterms:W3CDTF">2022-12-07T02:36:00Z</dcterms:created>
  <dcterms:modified xsi:type="dcterms:W3CDTF">2022-12-12T02:35:00Z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F40C181E44204D0B8BBBAB76FD5EFFA2</vt:lpwstr>
  </property>
</Properties>
</file>