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0E" w:rsidRDefault="00CB070E"/>
    <w:p w:rsidR="00CB070E" w:rsidRDefault="00CB070E"/>
    <w:p w:rsidR="00CB070E" w:rsidRDefault="00CB070E"/>
    <w:p w:rsidR="00CB070E" w:rsidRDefault="00CC363E">
      <w:pPr>
        <w:spacing w:line="56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世界投资者周</w:t>
      </w:r>
      <w:proofErr w:type="gramStart"/>
      <w:r w:rsidR="00904C75">
        <w:rPr>
          <w:rFonts w:ascii="方正小标宋简体" w:eastAsia="方正小标宋简体" w:hAnsi="方正小标宋简体" w:hint="eastAsia"/>
          <w:sz w:val="44"/>
        </w:rPr>
        <w:t>丨</w:t>
      </w:r>
      <w:proofErr w:type="gramEnd"/>
      <w:r w:rsidR="00904C75">
        <w:rPr>
          <w:rFonts w:ascii="方正小标宋简体" w:eastAsia="方正小标宋简体" w:hAnsi="方正小标宋简体" w:hint="eastAsia"/>
          <w:sz w:val="44"/>
        </w:rPr>
        <w:t>期权入市手册（八）：</w:t>
      </w:r>
      <w:r w:rsidR="00904C75">
        <w:rPr>
          <w:rFonts w:ascii="方正小标宋简体" w:eastAsia="方正小标宋简体" w:hAnsi="方正小标宋简体"/>
          <w:sz w:val="44"/>
        </w:rPr>
        <w:br/>
      </w:r>
      <w:r w:rsidR="00904C75">
        <w:rPr>
          <w:rFonts w:ascii="方正小标宋简体" w:eastAsia="方正小标宋简体" w:hAnsi="方正小标宋简体" w:hint="eastAsia"/>
          <w:sz w:val="44"/>
        </w:rPr>
        <w:t>深市期权投资者适当性管理（上）</w:t>
      </w:r>
    </w:p>
    <w:p w:rsidR="00CB070E" w:rsidRDefault="00CB070E"/>
    <w:p w:rsidR="00CB070E" w:rsidRDefault="00CB070E"/>
    <w:p w:rsidR="00CB070E" w:rsidRDefault="00CB070E"/>
    <w:p w:rsidR="00CB070E" w:rsidRDefault="00904C75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编者按：2022年9月19日，深市期权新品种——创业板ETF期权（标的为创业板ETF，代码159915）、中证500ETF期权（标的为中证500ETF，代码159922）上市交易。为帮助投资者系统了解期权产品特征、理性参与期权交易、有效提升风险管理能力，深交所联合市场机构推出“期权入市手册”系列连载文章。今天是第8期，让我们一起了解深市期权投资者适当性管理的要求吧！</w:t>
      </w:r>
    </w:p>
    <w:p w:rsidR="00CB070E" w:rsidRDefault="00CB070E">
      <w:pPr>
        <w:spacing w:line="560" w:lineRule="exact"/>
        <w:rPr>
          <w:rFonts w:ascii="仿宋" w:eastAsia="仿宋" w:hAnsi="仿宋"/>
          <w:sz w:val="32"/>
        </w:rPr>
      </w:pPr>
    </w:p>
    <w:p w:rsidR="00CB070E" w:rsidRDefault="00904C75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0" w:name="_Toc110967987"/>
      <w:r>
        <w:rPr>
          <w:rFonts w:ascii="仿宋" w:eastAsia="仿宋" w:hAnsi="仿宋" w:cs="Times New Roman"/>
          <w:b/>
          <w:bCs/>
          <w:sz w:val="32"/>
          <w:szCs w:val="32"/>
        </w:rPr>
        <w:t>股票期权市场的投资者分哪几类?</w:t>
      </w:r>
      <w:bookmarkEnd w:id="0"/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期权市场投资者分为</w:t>
      </w:r>
      <w:r>
        <w:rPr>
          <w:rFonts w:ascii="仿宋" w:eastAsia="仿宋" w:hAnsi="仿宋" w:cs="Times New Roman" w:hint="eastAsia"/>
          <w:b/>
          <w:sz w:val="32"/>
          <w:szCs w:val="32"/>
        </w:rPr>
        <w:t>个人投资者</w:t>
      </w:r>
      <w:r>
        <w:rPr>
          <w:rFonts w:ascii="仿宋" w:eastAsia="仿宋" w:hAnsi="仿宋" w:cs="Times New Roman"/>
          <w:sz w:val="32"/>
          <w:szCs w:val="32"/>
        </w:rPr>
        <w:t>、专业机构投资者和普通机构投资者。其中，</w:t>
      </w:r>
      <w:r>
        <w:rPr>
          <w:rFonts w:ascii="仿宋" w:eastAsia="仿宋" w:hAnsi="仿宋" w:cs="Times New Roman" w:hint="eastAsia"/>
          <w:b/>
          <w:sz w:val="32"/>
          <w:szCs w:val="32"/>
        </w:rPr>
        <w:t>专业机构投资者</w:t>
      </w:r>
      <w:r>
        <w:rPr>
          <w:rFonts w:ascii="仿宋" w:eastAsia="仿宋" w:hAnsi="仿宋" w:cs="Times New Roman"/>
          <w:sz w:val="32"/>
          <w:szCs w:val="32"/>
        </w:rPr>
        <w:t>包括商业银行、期权经营机构、保险公司、信托公司、基金管理公司、财务公司、合格境外机构投资者等专业机构及其分支机构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>
        <w:rPr>
          <w:rFonts w:ascii="仿宋" w:eastAsia="仿宋" w:hAnsi="仿宋" w:cs="Times New Roman"/>
          <w:sz w:val="32"/>
          <w:szCs w:val="32"/>
        </w:rPr>
        <w:t>以及证券投资基金、社保基金、养老基金、企业年金、信托计划、资产管理计划、银行及保险理财产品以及</w:t>
      </w:r>
      <w:r>
        <w:rPr>
          <w:rFonts w:ascii="仿宋" w:eastAsia="仿宋" w:hAnsi="仿宋" w:cs="Times New Roman" w:hint="eastAsia"/>
          <w:sz w:val="32"/>
          <w:szCs w:val="32"/>
        </w:rPr>
        <w:t>由</w:t>
      </w:r>
      <w:r>
        <w:rPr>
          <w:rFonts w:ascii="仿宋" w:eastAsia="仿宋" w:hAnsi="仿宋" w:cs="Times New Roman"/>
          <w:sz w:val="32"/>
          <w:szCs w:val="32"/>
        </w:rPr>
        <w:t>专业机构担任管理人的其他基金或者委托投资资产等。</w:t>
      </w:r>
      <w:r>
        <w:rPr>
          <w:rFonts w:ascii="仿宋" w:eastAsia="仿宋" w:hAnsi="仿宋" w:cs="Times New Roman" w:hint="eastAsia"/>
          <w:b/>
          <w:sz w:val="32"/>
          <w:szCs w:val="32"/>
        </w:rPr>
        <w:t>普通机构投资者</w:t>
      </w:r>
      <w:r>
        <w:rPr>
          <w:rFonts w:ascii="仿宋" w:eastAsia="仿宋" w:hAnsi="仿宋" w:cs="Times New Roman"/>
          <w:sz w:val="32"/>
          <w:szCs w:val="32"/>
        </w:rPr>
        <w:t>是指除专业机构投资者以外的机构投资者。</w:t>
      </w:r>
    </w:p>
    <w:p w:rsidR="00CB070E" w:rsidRDefault="00CB070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CB070E" w:rsidRDefault="00904C75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1" w:name="_Toc110967988"/>
      <w:r>
        <w:rPr>
          <w:rFonts w:ascii="仿宋" w:eastAsia="仿宋" w:hAnsi="仿宋" w:cs="Times New Roman"/>
          <w:b/>
          <w:bCs/>
          <w:sz w:val="32"/>
          <w:szCs w:val="32"/>
        </w:rPr>
        <w:lastRenderedPageBreak/>
        <w:t>个人投资者参与期权交易需满足哪些条件？</w:t>
      </w:r>
      <w:bookmarkEnd w:id="1"/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个人投资者参与</w:t>
      </w:r>
      <w:r>
        <w:rPr>
          <w:rFonts w:ascii="仿宋" w:eastAsia="仿宋" w:hAnsi="仿宋" w:cs="Times New Roman" w:hint="eastAsia"/>
          <w:sz w:val="32"/>
          <w:szCs w:val="32"/>
        </w:rPr>
        <w:t>深市</w:t>
      </w:r>
      <w:r>
        <w:rPr>
          <w:rFonts w:ascii="仿宋" w:eastAsia="仿宋" w:hAnsi="仿宋" w:cs="Times New Roman"/>
          <w:sz w:val="32"/>
          <w:szCs w:val="32"/>
        </w:rPr>
        <w:t>期权交易，应当符合下列条件：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（1）申请开户前20个交易</w:t>
      </w:r>
      <w:proofErr w:type="gramStart"/>
      <w:r>
        <w:rPr>
          <w:rFonts w:ascii="仿宋" w:eastAsia="仿宋" w:hAnsi="仿宋" w:cs="Times New Roman"/>
          <w:sz w:val="32"/>
          <w:szCs w:val="32"/>
        </w:rPr>
        <w:t>日证券</w:t>
      </w:r>
      <w:proofErr w:type="gramEnd"/>
      <w:r>
        <w:rPr>
          <w:rFonts w:ascii="仿宋" w:eastAsia="仿宋" w:hAnsi="仿宋" w:cs="Times New Roman"/>
          <w:sz w:val="32"/>
          <w:szCs w:val="32"/>
        </w:rPr>
        <w:t>账户及资金账户内的资产日均不低于人民币50万元（不包括该投资者通过融资融券融入的资金和证券）；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（2）在证券公司开户6个月以上并具有融资融券业务参与资格或者金融期货交易经历；或者在期货公司开户6个月以上并具有金融期货交易经历；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（3）具备期权基础知识，通过深交所认可的相关测试；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（4）具备深交所认可的期权模拟交易经历；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（5）具有相应的风险承受能力；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（6）无严重不良诚信记录和法律、行政法规、部门规章、规范性文件及深交所业务规则禁止或者限制从事期权交易的情形</w:t>
      </w:r>
      <w:r w:rsidR="002B7961">
        <w:rPr>
          <w:rFonts w:ascii="仿宋" w:eastAsia="仿宋" w:hAnsi="仿宋" w:cs="Times New Roman"/>
          <w:sz w:val="32"/>
          <w:szCs w:val="32"/>
        </w:rPr>
        <w:t>；</w:t>
      </w:r>
    </w:p>
    <w:p w:rsidR="00CC363E" w:rsidRDefault="00CC363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（7）深交所规定的其他条件。</w:t>
      </w:r>
    </w:p>
    <w:p w:rsidR="00CC363E" w:rsidRDefault="00CC363E" w:rsidP="00E74A6B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74A6B">
        <w:rPr>
          <w:rFonts w:ascii="仿宋" w:eastAsia="仿宋" w:hAnsi="仿宋" w:cs="Times New Roman" w:hint="eastAsia"/>
          <w:sz w:val="32"/>
          <w:szCs w:val="32"/>
        </w:rPr>
        <w:t>个人投资者参与期权交易，应当通过期权经营机构组织的期权投资者适当性综合评估。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已开立沪市衍生品合约账户且满足前述第（6）项条件的个人投资者，视同符合深交所期权投资者适当性管理要求。</w:t>
      </w:r>
    </w:p>
    <w:p w:rsidR="00CB070E" w:rsidRDefault="00904C75">
      <w:pPr>
        <w:spacing w:line="56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【小贴士】</w:t>
      </w:r>
      <w:r>
        <w:rPr>
          <w:rFonts w:ascii="仿宋" w:eastAsia="仿宋" w:hAnsi="仿宋" w:cs="Times New Roman" w:hint="eastAsia"/>
          <w:sz w:val="32"/>
          <w:szCs w:val="32"/>
        </w:rPr>
        <w:t>以上要求，可以简单概括为“</w:t>
      </w:r>
      <w:r>
        <w:rPr>
          <w:rFonts w:ascii="仿宋" w:eastAsia="仿宋" w:hAnsi="仿宋" w:cs="Times New Roman" w:hint="eastAsia"/>
          <w:b/>
          <w:sz w:val="32"/>
          <w:szCs w:val="32"/>
        </w:rPr>
        <w:t>五有一无</w:t>
      </w:r>
      <w:r>
        <w:rPr>
          <w:rFonts w:ascii="仿宋" w:eastAsia="仿宋" w:hAnsi="仿宋" w:cs="Times New Roman" w:hint="eastAsia"/>
          <w:sz w:val="32"/>
          <w:szCs w:val="32"/>
        </w:rPr>
        <w:t>”，即有资产、有经历、有知识、有经验、有风险承受能力和无违法违规行为。</w:t>
      </w:r>
    </w:p>
    <w:p w:rsidR="00CB070E" w:rsidRDefault="00CB070E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CB070E" w:rsidRDefault="00904C75">
      <w:pPr>
        <w:keepNext/>
        <w:keepLines/>
        <w:numPr>
          <w:ilvl w:val="0"/>
          <w:numId w:val="1"/>
        </w:numPr>
        <w:spacing w:line="560" w:lineRule="exact"/>
        <w:ind w:left="0" w:firstLineChars="200" w:firstLine="643"/>
        <w:outlineLvl w:val="2"/>
        <w:rPr>
          <w:rFonts w:ascii="仿宋" w:eastAsia="仿宋" w:hAnsi="仿宋" w:cs="Times New Roman"/>
          <w:b/>
          <w:bCs/>
          <w:sz w:val="32"/>
          <w:szCs w:val="32"/>
        </w:rPr>
      </w:pPr>
      <w:bookmarkStart w:id="2" w:name="_Toc110967989"/>
      <w:r>
        <w:rPr>
          <w:rFonts w:ascii="仿宋" w:eastAsia="仿宋" w:hAnsi="仿宋" w:cs="Times New Roman"/>
          <w:b/>
          <w:bCs/>
          <w:sz w:val="32"/>
          <w:szCs w:val="32"/>
        </w:rPr>
        <w:lastRenderedPageBreak/>
        <w:t>普通机构投资者参与期权交易，需满足哪些条件？</w:t>
      </w:r>
      <w:bookmarkEnd w:id="2"/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cs="Times New Roman"/>
          <w:sz w:val="32"/>
          <w:szCs w:val="32"/>
        </w:rPr>
        <w:t>普通机构投资者参与</w:t>
      </w:r>
      <w:r>
        <w:rPr>
          <w:rFonts w:ascii="仿宋" w:eastAsia="仿宋" w:hAnsi="仿宋" w:cs="Times New Roman" w:hint="eastAsia"/>
          <w:sz w:val="32"/>
          <w:szCs w:val="32"/>
        </w:rPr>
        <w:t>深市</w:t>
      </w:r>
      <w:r>
        <w:rPr>
          <w:rFonts w:ascii="仿宋" w:eastAsia="仿宋" w:hAnsi="仿宋" w:cs="Times New Roman"/>
          <w:sz w:val="32"/>
          <w:szCs w:val="32"/>
        </w:rPr>
        <w:t>期权交易，应当符合下列条件：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（1）申请开户前20个交易</w:t>
      </w:r>
      <w:proofErr w:type="gramStart"/>
      <w:r>
        <w:rPr>
          <w:rFonts w:ascii="仿宋" w:eastAsia="仿宋" w:hAnsi="仿宋" w:cs="Times New Roman"/>
          <w:sz w:val="32"/>
          <w:szCs w:val="32"/>
        </w:rPr>
        <w:t>日证券</w:t>
      </w:r>
      <w:proofErr w:type="gramEnd"/>
      <w:r>
        <w:rPr>
          <w:rFonts w:ascii="仿宋" w:eastAsia="仿宋" w:hAnsi="仿宋" w:cs="Times New Roman"/>
          <w:sz w:val="32"/>
          <w:szCs w:val="32"/>
        </w:rPr>
        <w:t>账户及资金账户内的资产日均不低于人民币100万元（不包括该投资者通过融资融券融入的资金和证券）；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（2）净资产不低于人民币100万元；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（3）相关业务人员具备期权基础知识，通过深交所认可的相关测试；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（4）相关业务人员具备深交所认可的期权模拟交易经历；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（5）无严重不良诚信记录和法律、行政法规、部门</w:t>
      </w:r>
      <w:r w:rsidR="005A73F8">
        <w:rPr>
          <w:rFonts w:ascii="仿宋" w:eastAsia="仿宋" w:hAnsi="仿宋" w:cs="Times New Roman"/>
          <w:sz w:val="32"/>
          <w:szCs w:val="32"/>
        </w:rPr>
        <w:t>规章、规范性文件及深交所业务规则禁止或者限制从事期权交易的情形；</w:t>
      </w:r>
      <w:bookmarkStart w:id="3" w:name="_GoBack"/>
      <w:bookmarkEnd w:id="3"/>
    </w:p>
    <w:p w:rsidR="00CC363E" w:rsidRPr="00CC363E" w:rsidRDefault="00CC363E" w:rsidP="00CC363E">
      <w:pPr>
        <w:spacing w:line="560" w:lineRule="exact"/>
        <w:ind w:firstLineChars="200" w:firstLine="640"/>
        <w:rPr>
          <w:rFonts w:eastAsia="方正仿宋简体"/>
          <w:sz w:val="30"/>
          <w:szCs w:val="30"/>
        </w:rPr>
      </w:pPr>
      <w:r>
        <w:rPr>
          <w:rFonts w:ascii="仿宋" w:eastAsia="仿宋" w:hAnsi="仿宋" w:cs="Times New Roman" w:hint="eastAsia"/>
          <w:sz w:val="32"/>
          <w:szCs w:val="32"/>
        </w:rPr>
        <w:t>（6）深交</w:t>
      </w:r>
      <w:r w:rsidRPr="00EE78E3">
        <w:rPr>
          <w:rFonts w:eastAsia="方正仿宋简体"/>
          <w:sz w:val="30"/>
          <w:szCs w:val="30"/>
        </w:rPr>
        <w:t>所规定的其他条件。</w:t>
      </w:r>
    </w:p>
    <w:p w:rsidR="00CB070E" w:rsidRDefault="00904C75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已开立沪市衍生品合约账户且满足前述第（5）项条件的普通机构投资者，视同符合深交所期权投资者适当性管理要求。</w:t>
      </w:r>
    </w:p>
    <w:p w:rsidR="00CB070E" w:rsidRDefault="00CB070E">
      <w:pPr>
        <w:spacing w:line="560" w:lineRule="exact"/>
        <w:rPr>
          <w:rFonts w:ascii="仿宋" w:eastAsia="仿宋" w:hAnsi="仿宋" w:cs="Times New Roman"/>
          <w:b/>
          <w:sz w:val="32"/>
          <w:szCs w:val="32"/>
        </w:rPr>
      </w:pPr>
    </w:p>
    <w:p w:rsidR="00CB070E" w:rsidRDefault="00CB070E">
      <w:pPr>
        <w:spacing w:line="560" w:lineRule="exact"/>
        <w:rPr>
          <w:rFonts w:ascii="仿宋" w:eastAsia="仿宋" w:hAnsi="仿宋"/>
          <w:sz w:val="32"/>
        </w:rPr>
      </w:pPr>
    </w:p>
    <w:p w:rsidR="00CB070E" w:rsidRDefault="00904C75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（“期权入市手册”系列文章支持单位：广发证券、国泰君安证券、华泰证券、嘉实基金、易方达基金、招商证券、中</w:t>
      </w:r>
      <w:proofErr w:type="gramStart"/>
      <w:r>
        <w:rPr>
          <w:rFonts w:ascii="仿宋" w:eastAsia="仿宋" w:hAnsi="仿宋" w:hint="eastAsia"/>
          <w:sz w:val="32"/>
        </w:rPr>
        <w:t>信建投证券</w:t>
      </w:r>
      <w:proofErr w:type="gramEnd"/>
      <w:r>
        <w:rPr>
          <w:rFonts w:ascii="仿宋" w:eastAsia="仿宋" w:hAnsi="仿宋" w:hint="eastAsia"/>
          <w:sz w:val="32"/>
        </w:rPr>
        <w:t>（按音序排列，排名不分先后））</w:t>
      </w:r>
    </w:p>
    <w:p w:rsidR="00CB070E" w:rsidRDefault="00CB070E">
      <w:pPr>
        <w:spacing w:line="560" w:lineRule="exact"/>
        <w:rPr>
          <w:rFonts w:ascii="仿宋" w:eastAsia="仿宋" w:hAnsi="仿宋"/>
          <w:sz w:val="32"/>
        </w:rPr>
      </w:pPr>
    </w:p>
    <w:p w:rsidR="00CB070E" w:rsidRDefault="00904C75">
      <w:pPr>
        <w:spacing w:line="560" w:lineRule="exact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（免责声明：本文仅为投资者教育之目的而发布，不构成投</w:t>
      </w:r>
      <w:r>
        <w:rPr>
          <w:rFonts w:ascii="仿宋" w:eastAsia="仿宋" w:hAnsi="仿宋" w:hint="eastAsia"/>
          <w:sz w:val="32"/>
        </w:rPr>
        <w:lastRenderedPageBreak/>
        <w:t>资建议。投资者据此操作，风险自担。深圳证券交易所力求本文所涉信息准确可靠，但并不对其准确性、完整性和及时性做出任何保证，对因使用本文引发的损失不承担责任。）</w:t>
      </w:r>
      <w:r>
        <w:rPr>
          <w:rFonts w:ascii="仿宋" w:eastAsia="仿宋" w:hAnsi="仿宋" w:hint="eastAsia"/>
          <w:b/>
          <w:noProof/>
          <w:sz w:val="18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margin">
                  <wp:align>right</wp:align>
                </wp:positionH>
                <wp:positionV relativeFrom="topMargin">
                  <wp:align>bottom</wp:align>
                </wp:positionV>
                <wp:extent cx="1410970" cy="244475"/>
                <wp:effectExtent l="0" t="0" r="1778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244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CB070E" w:rsidRDefault="00904C75">
                            <w:pPr>
                              <w:spacing w:line="240" w:lineRule="exact"/>
                              <w:jc w:val="center"/>
                              <w:rPr>
                                <w:rFonts w:ascii="宋体" w:hAnsi="宋体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color w:val="FF0000"/>
                                <w:szCs w:val="21"/>
                              </w:rPr>
                              <w:t>内部使用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9pt;margin-top:0;width:111.1pt;height:19.25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" o:allowincell="f" strokecolor="red" strokeweight="1.5pt">
                <v:fill opacity="49087f"/>
                <v:textbox style="mso-fit-shape-to-text:t" inset="1mm,1mm,1mm,1mm">
                  <w:txbxContent>
                    <w:p w:rsidR="00CB070E" w:rsidRDefault="00904C75">
                      <w:pPr>
                        <w:spacing w:line="240" w:lineRule="exact"/>
                        <w:jc w:val="center"/>
                        <w:rPr>
                          <w:rFonts w:ascii="宋体" w:hAnsi="宋体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color w:val="FF0000"/>
                          <w:szCs w:val="21"/>
                        </w:rPr>
                        <w:t>内部使用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sectPr w:rsidR="00CB07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D4A2D6D" w15:done="0"/>
  <w15:commentEx w15:paraId="30BD4B22" w15:done="0"/>
  <w15:commentEx w15:paraId="77E13C36" w15:done="0"/>
  <w15:commentEx w15:paraId="67CC31C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034"/>
    <w:multiLevelType w:val="multilevel"/>
    <w:tmpl w:val="262F00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张嘉琦">
    <w15:presenceInfo w15:providerId="None" w15:userId="张嘉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7F"/>
    <w:rsid w:val="00024E42"/>
    <w:rsid w:val="00073B27"/>
    <w:rsid w:val="000E658A"/>
    <w:rsid w:val="0020392E"/>
    <w:rsid w:val="00254873"/>
    <w:rsid w:val="00273878"/>
    <w:rsid w:val="002849DB"/>
    <w:rsid w:val="002B4453"/>
    <w:rsid w:val="002B7961"/>
    <w:rsid w:val="0032412C"/>
    <w:rsid w:val="003E1D15"/>
    <w:rsid w:val="004352D8"/>
    <w:rsid w:val="00485D85"/>
    <w:rsid w:val="004A65EE"/>
    <w:rsid w:val="005A5EA9"/>
    <w:rsid w:val="005A73F8"/>
    <w:rsid w:val="006D73C9"/>
    <w:rsid w:val="00872572"/>
    <w:rsid w:val="00904C75"/>
    <w:rsid w:val="00924E1A"/>
    <w:rsid w:val="009429C6"/>
    <w:rsid w:val="00A12A83"/>
    <w:rsid w:val="00B44386"/>
    <w:rsid w:val="00B47BC0"/>
    <w:rsid w:val="00BF607F"/>
    <w:rsid w:val="00C16D94"/>
    <w:rsid w:val="00CB070E"/>
    <w:rsid w:val="00CC363E"/>
    <w:rsid w:val="00CD5C62"/>
    <w:rsid w:val="00CF24AA"/>
    <w:rsid w:val="00D41A29"/>
    <w:rsid w:val="00D801F4"/>
    <w:rsid w:val="00D946E1"/>
    <w:rsid w:val="00E04C3C"/>
    <w:rsid w:val="00E74A6B"/>
    <w:rsid w:val="00EF0751"/>
    <w:rsid w:val="00FD2CDF"/>
    <w:rsid w:val="1FC54D58"/>
    <w:rsid w:val="48B82223"/>
    <w:rsid w:val="686C4009"/>
    <w:rsid w:val="6BB700EA"/>
    <w:rsid w:val="6F5D389D"/>
    <w:rsid w:val="7D7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rPr>
      <w:b/>
      <w:bCs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560" w:lineRule="exact"/>
      <w:outlineLvl w:val="2"/>
    </w:pPr>
    <w:rPr>
      <w:rFonts w:ascii="仿宋" w:eastAsia="仿宋" w:hAnsi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annotation subject"/>
    <w:basedOn w:val="a3"/>
    <w:next w:val="a3"/>
    <w:link w:val="Char1"/>
    <w:uiPriority w:val="99"/>
    <w:semiHidden/>
    <w:unhideWhenUsed/>
    <w:rPr>
      <w:b/>
      <w:bCs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仿宋" w:eastAsia="仿宋" w:hAnsi="仿宋"/>
      <w:b/>
      <w:bCs/>
      <w:kern w:val="2"/>
      <w:sz w:val="32"/>
      <w:szCs w:val="32"/>
    </w:rPr>
  </w:style>
  <w:style w:type="table" w:customStyle="1" w:styleId="1">
    <w:name w:val="网格型1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网格型2"/>
    <w:basedOn w:val="a1"/>
    <w:uiPriority w:val="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1">
    <w:name w:val="批注主题 Char"/>
    <w:basedOn w:val="Char"/>
    <w:link w:val="a5"/>
    <w:uiPriority w:val="99"/>
    <w:semiHidden/>
    <w:rPr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48116-9250-4F54-99E7-E76A7264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6</cp:revision>
  <dcterms:created xsi:type="dcterms:W3CDTF">2022-10-18T02:01:00Z</dcterms:created>
  <dcterms:modified xsi:type="dcterms:W3CDTF">2022-10-24T09:12:00Z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C97C7C48010A4452A60A811311224187</vt:lpwstr>
  </property>
</Properties>
</file>