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E" w:rsidRDefault="00CB070E"/>
    <w:p w:rsidR="00CB070E" w:rsidRDefault="00CB070E"/>
    <w:p w:rsidR="00CB070E" w:rsidRDefault="00CB070E"/>
    <w:p w:rsidR="00CB070E" w:rsidRDefault="00CC363E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世界投资者周</w:t>
      </w:r>
      <w:proofErr w:type="gramStart"/>
      <w:r w:rsidR="00904C75"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 w:rsidR="00904C75">
        <w:rPr>
          <w:rFonts w:ascii="方正小标宋简体" w:eastAsia="方正小标宋简体" w:hAnsi="方正小标宋简体" w:hint="eastAsia"/>
          <w:sz w:val="44"/>
        </w:rPr>
        <w:t>期权入市手册（八）：</w:t>
      </w:r>
      <w:r w:rsidR="00904C75">
        <w:rPr>
          <w:rFonts w:ascii="方正小标宋简体" w:eastAsia="方正小标宋简体" w:hAnsi="方正小标宋简体"/>
          <w:sz w:val="44"/>
        </w:rPr>
        <w:br/>
      </w:r>
      <w:r w:rsidR="00904C75">
        <w:rPr>
          <w:rFonts w:ascii="方正小标宋简体" w:eastAsia="方正小标宋简体" w:hAnsi="方正小标宋简体" w:hint="eastAsia"/>
          <w:sz w:val="44"/>
        </w:rPr>
        <w:t>深市期权投资者适当性管理（上）</w:t>
      </w:r>
    </w:p>
    <w:p w:rsidR="00CB070E" w:rsidRDefault="00CB070E"/>
    <w:p w:rsidR="00CB070E" w:rsidRDefault="00CB070E"/>
    <w:p w:rsidR="00CB070E" w:rsidRDefault="00CB070E"/>
    <w:p w:rsidR="00CB070E" w:rsidRDefault="00904C7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标的为创业板ETF，代码159915）、中证500ETF期权（标的为中证500ETF，代码159922）上市交易。为帮助投资者系统了解期权产品特征、理性参与期权交易、有效提升风险管理能力，深交所联合市场机构推出“期权入市手册”系列连载文章。今天是第8期，让我们一起了解深市期权投资者适当性管理的要求吧！</w:t>
      </w:r>
    </w:p>
    <w:p w:rsidR="00CB070E" w:rsidRDefault="00CB070E">
      <w:pPr>
        <w:spacing w:line="560" w:lineRule="exact"/>
        <w:rPr>
          <w:rFonts w:ascii="仿宋" w:eastAsia="仿宋" w:hAnsi="仿宋"/>
          <w:sz w:val="32"/>
        </w:rPr>
      </w:pPr>
    </w:p>
    <w:p w:rsidR="00CB070E" w:rsidRDefault="00904C75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Toc110967987"/>
      <w:r>
        <w:rPr>
          <w:rFonts w:ascii="仿宋" w:eastAsia="仿宋" w:hAnsi="仿宋" w:cs="Times New Roman"/>
          <w:b/>
          <w:bCs/>
          <w:sz w:val="32"/>
          <w:szCs w:val="32"/>
        </w:rPr>
        <w:t>股票期权市场的投资者分哪几类?</w:t>
      </w:r>
      <w:bookmarkEnd w:id="0"/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期权市场投资者分为</w:t>
      </w:r>
      <w:r>
        <w:rPr>
          <w:rFonts w:ascii="仿宋" w:eastAsia="仿宋" w:hAnsi="仿宋" w:cs="Times New Roman" w:hint="eastAsia"/>
          <w:b/>
          <w:sz w:val="32"/>
          <w:szCs w:val="32"/>
        </w:rPr>
        <w:t>个人投资者</w:t>
      </w:r>
      <w:r>
        <w:rPr>
          <w:rFonts w:ascii="仿宋" w:eastAsia="仿宋" w:hAnsi="仿宋" w:cs="Times New Roman"/>
          <w:sz w:val="32"/>
          <w:szCs w:val="32"/>
        </w:rPr>
        <w:t>、专业机构投资者和普通机构投资者。其中，</w:t>
      </w:r>
      <w:r>
        <w:rPr>
          <w:rFonts w:ascii="仿宋" w:eastAsia="仿宋" w:hAnsi="仿宋" w:cs="Times New Roman" w:hint="eastAsia"/>
          <w:b/>
          <w:sz w:val="32"/>
          <w:szCs w:val="32"/>
        </w:rPr>
        <w:t>专业机构投资者</w:t>
      </w:r>
      <w:r>
        <w:rPr>
          <w:rFonts w:ascii="仿宋" w:eastAsia="仿宋" w:hAnsi="仿宋" w:cs="Times New Roman"/>
          <w:sz w:val="32"/>
          <w:szCs w:val="32"/>
        </w:rPr>
        <w:t>包括商业银行、期权经营机构、保险公司、信托公司、基金管理公司、财务公司、合格境外机构投资者等专业机构及其分支机构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以及证券投资基金、社保基金、养老基金、企业年金、信托计划、资产管理计划、银行及保险理财产品以及</w:t>
      </w:r>
      <w:r>
        <w:rPr>
          <w:rFonts w:ascii="仿宋" w:eastAsia="仿宋" w:hAnsi="仿宋" w:cs="Times New Roman" w:hint="eastAsia"/>
          <w:sz w:val="32"/>
          <w:szCs w:val="32"/>
        </w:rPr>
        <w:t>由</w:t>
      </w:r>
      <w:r>
        <w:rPr>
          <w:rFonts w:ascii="仿宋" w:eastAsia="仿宋" w:hAnsi="仿宋" w:cs="Times New Roman"/>
          <w:sz w:val="32"/>
          <w:szCs w:val="32"/>
        </w:rPr>
        <w:t>专业机构担任管理人的其他基金或者委托投资资产等。</w:t>
      </w:r>
      <w:r>
        <w:rPr>
          <w:rFonts w:ascii="仿宋" w:eastAsia="仿宋" w:hAnsi="仿宋" w:cs="Times New Roman" w:hint="eastAsia"/>
          <w:b/>
          <w:sz w:val="32"/>
          <w:szCs w:val="32"/>
        </w:rPr>
        <w:t>普通机构投资者</w:t>
      </w:r>
      <w:r>
        <w:rPr>
          <w:rFonts w:ascii="仿宋" w:eastAsia="仿宋" w:hAnsi="仿宋" w:cs="Times New Roman"/>
          <w:sz w:val="32"/>
          <w:szCs w:val="32"/>
        </w:rPr>
        <w:t>是指除专业机构投资者以外的机构投资者。</w:t>
      </w:r>
    </w:p>
    <w:p w:rsidR="00CB070E" w:rsidRDefault="00CB07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B070E" w:rsidRDefault="00904C75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7988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个人投资者参与期权交易需满足哪些条件？</w:t>
      </w:r>
      <w:bookmarkEnd w:id="1"/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个人投资者参与</w:t>
      </w:r>
      <w:r>
        <w:rPr>
          <w:rFonts w:ascii="仿宋" w:eastAsia="仿宋" w:hAnsi="仿宋" w:cs="Times New Roman" w:hint="eastAsia"/>
          <w:sz w:val="32"/>
          <w:szCs w:val="32"/>
        </w:rPr>
        <w:t>深市</w:t>
      </w:r>
      <w:r>
        <w:rPr>
          <w:rFonts w:ascii="仿宋" w:eastAsia="仿宋" w:hAnsi="仿宋" w:cs="Times New Roman"/>
          <w:sz w:val="32"/>
          <w:szCs w:val="32"/>
        </w:rPr>
        <w:t>期权交易，应当符合下列条件：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（1）申请开户前20个交易</w:t>
      </w:r>
      <w:proofErr w:type="gramStart"/>
      <w:r>
        <w:rPr>
          <w:rFonts w:ascii="仿宋" w:eastAsia="仿宋" w:hAnsi="仿宋" w:cs="Times New Roman"/>
          <w:sz w:val="32"/>
          <w:szCs w:val="32"/>
        </w:rPr>
        <w:t>日证券</w:t>
      </w:r>
      <w:proofErr w:type="gramEnd"/>
      <w:r>
        <w:rPr>
          <w:rFonts w:ascii="仿宋" w:eastAsia="仿宋" w:hAnsi="仿宋" w:cs="Times New Roman"/>
          <w:sz w:val="32"/>
          <w:szCs w:val="32"/>
        </w:rPr>
        <w:t>账户及资金账户内的资产日均不低于人民币50万元（不包括该投资者通过融资融券融入的资金和证券）；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（2）在证券公司开户6个月以上并具有融资融券业务参与资格或者金融期货交易经历；或者在期货公司开户6个月以上并具有金融期货交易经历；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（3）具备期权基础知识，通过深交所认可的相关测试；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（4）具备深交所认可的期权模拟交易经历；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（5）具有相应的风险承受能力；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（6）无严重不良诚信记录和法律、行政法规、部门规章、规范性文件及深交所业务规则禁止或者限制从事期权交易的情形</w:t>
      </w:r>
      <w:r w:rsidR="002B7961">
        <w:rPr>
          <w:rFonts w:ascii="仿宋" w:eastAsia="仿宋" w:hAnsi="仿宋" w:cs="Times New Roman"/>
          <w:sz w:val="32"/>
          <w:szCs w:val="32"/>
        </w:rPr>
        <w:t>；</w:t>
      </w:r>
    </w:p>
    <w:p w:rsidR="00CC363E" w:rsidRDefault="00CC363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（7）深交所规定的其他条件。</w:t>
      </w:r>
    </w:p>
    <w:p w:rsidR="00CC363E" w:rsidRDefault="00CC363E" w:rsidP="00E74A6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4A6B">
        <w:rPr>
          <w:rFonts w:ascii="仿宋" w:eastAsia="仿宋" w:hAnsi="仿宋" w:cs="Times New Roman" w:hint="eastAsia"/>
          <w:sz w:val="32"/>
          <w:szCs w:val="32"/>
        </w:rPr>
        <w:t>个人投资者参与期权交易，应当通过期权经营机构组织的期权投资者适当性综合评估。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已开立沪市衍生品合约账户且满足前述第（6）项条件的个人投资者，视同符合深交所期权投资者适当性管理要求。</w:t>
      </w:r>
    </w:p>
    <w:p w:rsidR="00CB070E" w:rsidRDefault="00904C75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【小贴士】</w:t>
      </w:r>
      <w:r>
        <w:rPr>
          <w:rFonts w:ascii="仿宋" w:eastAsia="仿宋" w:hAnsi="仿宋" w:cs="Times New Roman" w:hint="eastAsia"/>
          <w:sz w:val="32"/>
          <w:szCs w:val="32"/>
        </w:rPr>
        <w:t>以上要求，可以简单概括为“</w:t>
      </w:r>
      <w:r>
        <w:rPr>
          <w:rFonts w:ascii="仿宋" w:eastAsia="仿宋" w:hAnsi="仿宋" w:cs="Times New Roman" w:hint="eastAsia"/>
          <w:b/>
          <w:sz w:val="32"/>
          <w:szCs w:val="32"/>
        </w:rPr>
        <w:t>五有一无</w:t>
      </w:r>
      <w:r>
        <w:rPr>
          <w:rFonts w:ascii="仿宋" w:eastAsia="仿宋" w:hAnsi="仿宋" w:cs="Times New Roman" w:hint="eastAsia"/>
          <w:sz w:val="32"/>
          <w:szCs w:val="32"/>
        </w:rPr>
        <w:t>”，即有资产、有经历、有知识、有经验、有风险承受能力和无违法违规行为。</w:t>
      </w:r>
    </w:p>
    <w:p w:rsidR="00CB070E" w:rsidRDefault="00CB07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B070E" w:rsidRDefault="00904C75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2" w:name="_Toc110967989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普通机构投资者参与期权交易，需满足哪些条件？</w:t>
      </w:r>
      <w:bookmarkEnd w:id="2"/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Times New Roman"/>
          <w:sz w:val="32"/>
          <w:szCs w:val="32"/>
        </w:rPr>
        <w:t>普通机构投资者参与</w:t>
      </w:r>
      <w:r>
        <w:rPr>
          <w:rFonts w:ascii="仿宋" w:eastAsia="仿宋" w:hAnsi="仿宋" w:cs="Times New Roman" w:hint="eastAsia"/>
          <w:sz w:val="32"/>
          <w:szCs w:val="32"/>
        </w:rPr>
        <w:t>深市</w:t>
      </w:r>
      <w:r>
        <w:rPr>
          <w:rFonts w:ascii="仿宋" w:eastAsia="仿宋" w:hAnsi="仿宋" w:cs="Times New Roman"/>
          <w:sz w:val="32"/>
          <w:szCs w:val="32"/>
        </w:rPr>
        <w:t>期权交易，应当符合下列条件：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（1）申请开户前20个交易</w:t>
      </w:r>
      <w:proofErr w:type="gramStart"/>
      <w:r>
        <w:rPr>
          <w:rFonts w:ascii="仿宋" w:eastAsia="仿宋" w:hAnsi="仿宋" w:cs="Times New Roman"/>
          <w:sz w:val="32"/>
          <w:szCs w:val="32"/>
        </w:rPr>
        <w:t>日证券</w:t>
      </w:r>
      <w:proofErr w:type="gramEnd"/>
      <w:r>
        <w:rPr>
          <w:rFonts w:ascii="仿宋" w:eastAsia="仿宋" w:hAnsi="仿宋" w:cs="Times New Roman"/>
          <w:sz w:val="32"/>
          <w:szCs w:val="32"/>
        </w:rPr>
        <w:t>账户及资金账户内的资产日均不低于人民币100万元（不包括该投资者通过融资融券融入的资金和证券）；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（2）净资产不低于人民币100万元；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（3）相关业务人员具备期权基础知识，通过深交所认可的相关测试；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（4）相关业务人员具备深交所认可的期权模拟交易经历；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（5）无严重不良诚信记录和法律、行政法规、部门</w:t>
      </w:r>
      <w:r w:rsidR="005A73F8">
        <w:rPr>
          <w:rFonts w:ascii="仿宋" w:eastAsia="仿宋" w:hAnsi="仿宋" w:cs="Times New Roman"/>
          <w:sz w:val="32"/>
          <w:szCs w:val="32"/>
        </w:rPr>
        <w:t>规章、规范性文件及深交所业务规则禁止或者限制从事期权交易的情形；</w:t>
      </w:r>
      <w:bookmarkStart w:id="3" w:name="_GoBack"/>
      <w:bookmarkEnd w:id="3"/>
    </w:p>
    <w:p w:rsidR="00CC363E" w:rsidRPr="00CC363E" w:rsidRDefault="00CC363E" w:rsidP="00CC363E">
      <w:pPr>
        <w:spacing w:line="560" w:lineRule="exact"/>
        <w:ind w:firstLineChars="200" w:firstLine="640"/>
        <w:rPr>
          <w:rFonts w:eastAsia="方正仿宋简体"/>
          <w:sz w:val="30"/>
          <w:szCs w:val="30"/>
        </w:rPr>
      </w:pPr>
      <w:r>
        <w:rPr>
          <w:rFonts w:ascii="仿宋" w:eastAsia="仿宋" w:hAnsi="仿宋" w:cs="Times New Roman" w:hint="eastAsia"/>
          <w:sz w:val="32"/>
          <w:szCs w:val="32"/>
        </w:rPr>
        <w:t>（6）深交</w:t>
      </w:r>
      <w:r w:rsidRPr="00EE78E3">
        <w:rPr>
          <w:rFonts w:eastAsia="方正仿宋简体"/>
          <w:sz w:val="30"/>
          <w:szCs w:val="30"/>
        </w:rPr>
        <w:t>所规定的其他条件。</w:t>
      </w:r>
    </w:p>
    <w:p w:rsidR="00CB070E" w:rsidRDefault="00904C7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已开立沪市衍生品合约账户且满足前述第（5）项条件的普通机构投资者，视同符合深交所期权投资者适当性管理要求。</w:t>
      </w:r>
    </w:p>
    <w:p w:rsidR="00CB070E" w:rsidRDefault="00CB070E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CB070E" w:rsidRDefault="00CB070E">
      <w:pPr>
        <w:spacing w:line="560" w:lineRule="exact"/>
        <w:rPr>
          <w:rFonts w:ascii="仿宋" w:eastAsia="仿宋" w:hAnsi="仿宋"/>
          <w:sz w:val="32"/>
        </w:rPr>
      </w:pPr>
    </w:p>
    <w:p w:rsidR="00CB070E" w:rsidRDefault="00904C7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CB070E" w:rsidRDefault="00CB070E">
      <w:pPr>
        <w:spacing w:line="560" w:lineRule="exact"/>
        <w:rPr>
          <w:rFonts w:ascii="仿宋" w:eastAsia="仿宋" w:hAnsi="仿宋"/>
          <w:sz w:val="32"/>
        </w:rPr>
      </w:pPr>
    </w:p>
    <w:p w:rsidR="00CB070E" w:rsidRDefault="00904C7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</w:t>
      </w:r>
      <w:r>
        <w:rPr>
          <w:rFonts w:ascii="仿宋" w:eastAsia="仿宋" w:hAnsi="仿宋" w:hint="eastAsia"/>
          <w:sz w:val="32"/>
        </w:rPr>
        <w:lastRenderedPageBreak/>
        <w:t>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B070E" w:rsidRDefault="00904C75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CB070E" w:rsidRDefault="00904C75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CB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4A2D6D" w15:done="0"/>
  <w15:commentEx w15:paraId="30BD4B22" w15:done="0"/>
  <w15:commentEx w15:paraId="77E13C36" w15:done="0"/>
  <w15:commentEx w15:paraId="67CC31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034"/>
    <w:multiLevelType w:val="multilevel"/>
    <w:tmpl w:val="262F00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0E658A"/>
    <w:rsid w:val="0020392E"/>
    <w:rsid w:val="00254873"/>
    <w:rsid w:val="00273878"/>
    <w:rsid w:val="002849DB"/>
    <w:rsid w:val="002B4453"/>
    <w:rsid w:val="002B7961"/>
    <w:rsid w:val="0032412C"/>
    <w:rsid w:val="003E1D15"/>
    <w:rsid w:val="004352D8"/>
    <w:rsid w:val="00485D85"/>
    <w:rsid w:val="004A65EE"/>
    <w:rsid w:val="005A5EA9"/>
    <w:rsid w:val="005A73F8"/>
    <w:rsid w:val="006D73C9"/>
    <w:rsid w:val="00872572"/>
    <w:rsid w:val="00904C75"/>
    <w:rsid w:val="00924E1A"/>
    <w:rsid w:val="009429C6"/>
    <w:rsid w:val="00A12A83"/>
    <w:rsid w:val="00B44386"/>
    <w:rsid w:val="00B47BC0"/>
    <w:rsid w:val="00BF607F"/>
    <w:rsid w:val="00C16D94"/>
    <w:rsid w:val="00CB070E"/>
    <w:rsid w:val="00CC363E"/>
    <w:rsid w:val="00CD5C62"/>
    <w:rsid w:val="00CF24AA"/>
    <w:rsid w:val="00D41A29"/>
    <w:rsid w:val="00D801F4"/>
    <w:rsid w:val="00D946E1"/>
    <w:rsid w:val="00E04C3C"/>
    <w:rsid w:val="00E74A6B"/>
    <w:rsid w:val="00EF0751"/>
    <w:rsid w:val="00FD2CDF"/>
    <w:rsid w:val="1FC54D58"/>
    <w:rsid w:val="48B82223"/>
    <w:rsid w:val="686C4009"/>
    <w:rsid w:val="6BB700EA"/>
    <w:rsid w:val="6F5D389D"/>
    <w:rsid w:val="7D7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48116-9250-4F54-99E7-E76A7264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6</cp:revision>
  <dcterms:created xsi:type="dcterms:W3CDTF">2022-10-18T02:01:00Z</dcterms:created>
  <dcterms:modified xsi:type="dcterms:W3CDTF">2022-10-24T09:12:00Z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C97C7C48010A4452A60A811311224187</vt:lpwstr>
  </property>
</Properties>
</file>