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79" w:rsidRDefault="00672C79"/>
    <w:p w:rsidR="00672C79" w:rsidRDefault="00672C79"/>
    <w:p w:rsidR="00672C79" w:rsidRDefault="00672C79"/>
    <w:p w:rsidR="00672C79" w:rsidRDefault="00792C5D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世界投资者周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丨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期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sz w:val="44"/>
        </w:rPr>
        <w:t>权入市手册（五）：</w:t>
      </w:r>
      <w:r>
        <w:rPr>
          <w:rFonts w:ascii="方正小标宋简体" w:eastAsia="方正小标宋简体" w:hAnsi="方正小标宋简体"/>
          <w:sz w:val="44"/>
        </w:rPr>
        <w:br/>
      </w:r>
      <w:r>
        <w:rPr>
          <w:rFonts w:ascii="方正小标宋简体" w:eastAsia="方正小标宋简体" w:hAnsi="方正小标宋简体" w:hint="eastAsia"/>
          <w:sz w:val="44"/>
        </w:rPr>
        <w:t>期权价格及其影响因素</w:t>
      </w:r>
    </w:p>
    <w:p w:rsidR="00672C79" w:rsidRDefault="00672C79"/>
    <w:p w:rsidR="00672C79" w:rsidRDefault="00672C79"/>
    <w:p w:rsidR="00672C79" w:rsidRDefault="00672C79"/>
    <w:p w:rsidR="00672C79" w:rsidRDefault="00792C5D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</w:t>
      </w:r>
      <w:r w:rsidR="00D561B4" w:rsidRPr="00D561B4">
        <w:rPr>
          <w:rFonts w:ascii="仿宋" w:eastAsia="仿宋" w:hAnsi="仿宋" w:hint="eastAsia"/>
          <w:sz w:val="32"/>
        </w:rPr>
        <w:t>标的为创业板ETF，代码159915</w:t>
      </w:r>
      <w:r>
        <w:rPr>
          <w:rFonts w:ascii="仿宋" w:eastAsia="仿宋" w:hAnsi="仿宋" w:hint="eastAsia"/>
          <w:sz w:val="32"/>
        </w:rPr>
        <w:t>）、中证500ETF期权（</w:t>
      </w:r>
      <w:r w:rsidR="00D561B4" w:rsidRPr="00D561B4">
        <w:rPr>
          <w:rFonts w:ascii="仿宋" w:eastAsia="仿宋" w:hAnsi="仿宋" w:hint="eastAsia"/>
          <w:sz w:val="32"/>
        </w:rPr>
        <w:t>标的为中证500ETF，代码159922</w:t>
      </w:r>
      <w:r>
        <w:rPr>
          <w:rFonts w:ascii="仿宋" w:eastAsia="仿宋" w:hAnsi="仿宋" w:hint="eastAsia"/>
          <w:sz w:val="32"/>
        </w:rPr>
        <w:t>）上市交易。为帮助投资者系统了解期权产品特征、理性参与期权交易、有效提升风险管理能力，深交所联合市场机构推出“期权入市手册”系列连载文章。今天是第5期，让我们一起学习期权价格及其影响因素吧！</w:t>
      </w:r>
    </w:p>
    <w:p w:rsidR="00672C79" w:rsidRDefault="00672C79">
      <w:pPr>
        <w:spacing w:line="560" w:lineRule="exact"/>
        <w:rPr>
          <w:rFonts w:ascii="仿宋" w:eastAsia="仿宋" w:hAnsi="仿宋"/>
          <w:sz w:val="32"/>
        </w:rPr>
      </w:pPr>
    </w:p>
    <w:p w:rsidR="00672C79" w:rsidRDefault="00792C5D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bookmarkStart w:id="1" w:name="_Toc110967970"/>
      <w:r>
        <w:rPr>
          <w:rFonts w:cs="Times New Roman" w:hint="eastAsia"/>
        </w:rPr>
        <w:t>期权价格是什么？</w:t>
      </w:r>
      <w:bookmarkEnd w:id="1"/>
    </w:p>
    <w:p w:rsidR="00672C79" w:rsidRDefault="00792C5D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期权价格</w:t>
      </w:r>
      <w:r>
        <w:rPr>
          <w:rFonts w:ascii="仿宋" w:eastAsia="仿宋" w:hAnsi="仿宋" w:cs="Times New Roman" w:hint="eastAsia"/>
          <w:sz w:val="32"/>
          <w:szCs w:val="32"/>
        </w:rPr>
        <w:t>是期权买方购买期权时向期权卖方支付的费用，即期权合约的权利金。期权价格是期权价值的体现。例如，小陈在深交所买入创业板ETF期权，合约单位为10,000份。买入时，期权合约的现价为0.1元，则小陈买入这张ETF期权合约支付的权利金为0.1元×10,000份=1,000元。</w:t>
      </w:r>
    </w:p>
    <w:p w:rsidR="00672C79" w:rsidRDefault="00672C7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72C79" w:rsidRDefault="00792C5D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bookmarkStart w:id="2" w:name="_Toc82449661"/>
      <w:bookmarkStart w:id="3" w:name="_Toc110967971"/>
      <w:bookmarkEnd w:id="2"/>
      <w:r>
        <w:rPr>
          <w:rFonts w:cs="Times New Roman" w:hint="eastAsia"/>
        </w:rPr>
        <w:t>期权价格的影响因素有哪些？</w:t>
      </w:r>
      <w:bookmarkEnd w:id="3"/>
    </w:p>
    <w:p w:rsidR="00672C79" w:rsidRDefault="00792C5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期权价格的影响因素主要有标的价格、行权价格、标的价格的波动率、期权到期时间、无风险利率等，</w:t>
      </w:r>
      <w:r>
        <w:rPr>
          <w:rFonts w:ascii="仿宋" w:eastAsia="仿宋" w:hAnsi="仿宋" w:cs="Times New Roman"/>
          <w:sz w:val="32"/>
          <w:szCs w:val="32"/>
        </w:rPr>
        <w:t>其中标的价格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波动率和期权到期时间三个</w:t>
      </w:r>
      <w:r>
        <w:rPr>
          <w:rFonts w:ascii="仿宋" w:eastAsia="仿宋" w:hAnsi="仿宋" w:cs="Times New Roman" w:hint="eastAsia"/>
          <w:sz w:val="32"/>
          <w:szCs w:val="32"/>
        </w:rPr>
        <w:t>因素</w:t>
      </w:r>
      <w:r>
        <w:rPr>
          <w:rFonts w:ascii="仿宋" w:eastAsia="仿宋" w:hAnsi="仿宋" w:cs="Times New Roman"/>
          <w:sz w:val="32"/>
          <w:szCs w:val="32"/>
        </w:rPr>
        <w:t>的影响较大。投资者</w:t>
      </w:r>
      <w:r>
        <w:rPr>
          <w:rFonts w:ascii="仿宋" w:eastAsia="仿宋" w:hAnsi="仿宋" w:cs="Times New Roman" w:hint="eastAsia"/>
          <w:sz w:val="32"/>
          <w:szCs w:val="32"/>
        </w:rPr>
        <w:t>交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易</w:t>
      </w:r>
      <w:r>
        <w:rPr>
          <w:rFonts w:ascii="仿宋" w:eastAsia="仿宋" w:hAnsi="仿宋" w:cs="Times New Roman"/>
          <w:sz w:val="32"/>
          <w:szCs w:val="32"/>
        </w:rPr>
        <w:t>期权时</w:t>
      </w:r>
      <w:r>
        <w:rPr>
          <w:rFonts w:ascii="仿宋" w:eastAsia="仿宋" w:hAnsi="仿宋" w:cs="Times New Roman" w:hint="eastAsia"/>
          <w:sz w:val="32"/>
          <w:szCs w:val="32"/>
        </w:rPr>
        <w:t>，应当</w:t>
      </w:r>
      <w:r>
        <w:rPr>
          <w:rFonts w:ascii="仿宋" w:eastAsia="仿宋" w:hAnsi="仿宋" w:cs="Times New Roman"/>
          <w:sz w:val="32"/>
          <w:szCs w:val="32"/>
        </w:rPr>
        <w:t>综合考虑多因素影响。</w:t>
      </w:r>
    </w:p>
    <w:p w:rsidR="00672C79" w:rsidRDefault="00672C7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72C79" w:rsidRDefault="00792C5D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bookmarkStart w:id="4" w:name="_Toc110967972"/>
      <w:r>
        <w:rPr>
          <w:rFonts w:cs="Times New Roman" w:hint="eastAsia"/>
        </w:rPr>
        <w:t>标的价格如何影响期权的价格？</w:t>
      </w:r>
      <w:bookmarkEnd w:id="4"/>
    </w:p>
    <w:p w:rsidR="00672C79" w:rsidRDefault="00792C5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在其它因素不变的情况下，对于认购期权来说，标的价格上涨则认购期权的价格上涨，标的价格下跌则认购期权的价格下跌。对于认沽期权来说，标的价格上涨则认沽期权的价格下跌，标的价格下跌则认沽期权的价格上涨。</w:t>
      </w:r>
    </w:p>
    <w:p w:rsidR="00672C79" w:rsidRDefault="00792C5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例如，某日，创业板ETF涨幅</w:t>
      </w:r>
      <w:r w:rsidR="003042E9">
        <w:rPr>
          <w:rFonts w:ascii="仿宋" w:eastAsia="仿宋" w:hAnsi="仿宋" w:cs="Times New Roman" w:hint="eastAsia"/>
          <w:sz w:val="32"/>
          <w:szCs w:val="32"/>
        </w:rPr>
        <w:t>为0.53</w:t>
      </w:r>
      <w:r>
        <w:rPr>
          <w:rFonts w:ascii="仿宋" w:eastAsia="仿宋" w:hAnsi="仿宋" w:cs="Times New Roman" w:hint="eastAsia"/>
          <w:sz w:val="32"/>
          <w:szCs w:val="32"/>
        </w:rPr>
        <w:t>%。随着标的价格上涨，认购期权上涨，认沽期权下跌。当日，“创业板ETF购</w:t>
      </w:r>
      <w:r>
        <w:rPr>
          <w:rFonts w:ascii="仿宋" w:eastAsia="仿宋" w:hAnsi="仿宋" w:cs="Times New Roman"/>
          <w:sz w:val="32"/>
          <w:szCs w:val="32"/>
        </w:rPr>
        <w:t>X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 w:rsidR="003042E9">
        <w:rPr>
          <w:rFonts w:ascii="仿宋" w:eastAsia="仿宋" w:hAnsi="仿宋" w:cs="Times New Roman" w:hint="eastAsia"/>
          <w:sz w:val="32"/>
          <w:szCs w:val="32"/>
        </w:rPr>
        <w:t>2150</w:t>
      </w:r>
      <w:r>
        <w:rPr>
          <w:rFonts w:ascii="仿宋" w:eastAsia="仿宋" w:hAnsi="仿宋" w:cs="Times New Roman" w:hint="eastAsia"/>
          <w:sz w:val="32"/>
          <w:szCs w:val="32"/>
        </w:rPr>
        <w:t>”涨幅</w:t>
      </w:r>
      <w:r w:rsidR="003042E9">
        <w:rPr>
          <w:rFonts w:ascii="仿宋" w:eastAsia="仿宋" w:hAnsi="仿宋" w:cs="Times New Roman" w:hint="eastAsia"/>
          <w:sz w:val="32"/>
          <w:szCs w:val="32"/>
        </w:rPr>
        <w:t>为5.81</w:t>
      </w:r>
      <w:r>
        <w:rPr>
          <w:rFonts w:ascii="仿宋" w:eastAsia="仿宋" w:hAnsi="仿宋" w:cs="Times New Roman" w:hint="eastAsia"/>
          <w:sz w:val="32"/>
          <w:szCs w:val="32"/>
        </w:rPr>
        <w:t>%，“创业板ETF沽</w:t>
      </w:r>
      <w:r>
        <w:rPr>
          <w:rFonts w:ascii="仿宋" w:eastAsia="仿宋" w:hAnsi="仿宋" w:cs="Times New Roman"/>
          <w:sz w:val="32"/>
          <w:szCs w:val="32"/>
        </w:rPr>
        <w:t>X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 w:rsidR="003042E9">
        <w:rPr>
          <w:rFonts w:ascii="仿宋" w:eastAsia="仿宋" w:hAnsi="仿宋" w:cs="Times New Roman" w:hint="eastAsia"/>
          <w:sz w:val="32"/>
          <w:szCs w:val="32"/>
        </w:rPr>
        <w:t>2150</w:t>
      </w:r>
      <w:r>
        <w:rPr>
          <w:rFonts w:ascii="仿宋" w:eastAsia="仿宋" w:hAnsi="仿宋" w:cs="Times New Roman" w:hint="eastAsia"/>
          <w:sz w:val="32"/>
          <w:szCs w:val="32"/>
        </w:rPr>
        <w:t>”跌幅</w:t>
      </w:r>
      <w:r w:rsidR="003042E9">
        <w:rPr>
          <w:rFonts w:ascii="仿宋" w:eastAsia="仿宋" w:hAnsi="仿宋" w:cs="Times New Roman" w:hint="eastAsia"/>
          <w:sz w:val="32"/>
          <w:szCs w:val="32"/>
        </w:rPr>
        <w:t>为9.38</w:t>
      </w:r>
      <w:r>
        <w:rPr>
          <w:rFonts w:ascii="仿宋" w:eastAsia="仿宋" w:hAnsi="仿宋" w:cs="Times New Roman" w:hint="eastAsia"/>
          <w:sz w:val="32"/>
          <w:szCs w:val="32"/>
        </w:rPr>
        <w:t>%。</w:t>
      </w:r>
    </w:p>
    <w:p w:rsidR="00672C79" w:rsidRPr="00D561B4" w:rsidRDefault="00672C7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72C79" w:rsidRDefault="00792C5D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bookmarkStart w:id="5" w:name="_Toc110967973"/>
      <w:r>
        <w:rPr>
          <w:rFonts w:cs="Times New Roman" w:hint="eastAsia"/>
        </w:rPr>
        <w:t>波动率如何影响期权的价格？</w:t>
      </w:r>
      <w:bookmarkEnd w:id="5"/>
    </w:p>
    <w:p w:rsidR="00672C79" w:rsidRDefault="00792C5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波动率是衡量标的价格变化剧烈程度的指标，一般用百分数表示。在其它因素不变的情况下，波动率越大，期权的价格越高；反之，波动率越小，则期权的价格越低。</w:t>
      </w:r>
    </w:p>
    <w:p w:rsidR="00672C79" w:rsidRDefault="00792C5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例如，沪深300ETF在时刻A与时刻B价格均为5元/份，在这两个时刻分别有到期时间为20天、行权价为5元的认购期权，在时刻A与时刻B该ETF的波动率分别为15%与30%，对应的期权价格分别为0.09元与0.17元，波动率较高的时刻B该期权价格较高。</w:t>
      </w:r>
    </w:p>
    <w:p w:rsidR="00672C79" w:rsidRDefault="00672C7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72C79" w:rsidRDefault="00792C5D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bookmarkStart w:id="6" w:name="_Toc110967974"/>
      <w:r>
        <w:rPr>
          <w:rFonts w:cs="Times New Roman" w:hint="eastAsia"/>
        </w:rPr>
        <w:t>到期时间如何影响期权的价格？</w:t>
      </w:r>
      <w:bookmarkEnd w:id="6"/>
    </w:p>
    <w:p w:rsidR="00672C79" w:rsidRDefault="00792C5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在其它因素不变的情况下，期权合约剩余的到期时间越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长，期权的价格越高，反之，剩余的到期时间越短，则期权的价格越低。</w:t>
      </w:r>
    </w:p>
    <w:p w:rsidR="00672C79" w:rsidRDefault="00792C5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例如，小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喜欢到某个鱼塘钓鱼，他习惯每次只下一次鱼饵，钓到为止。于是鱼塘老板标价，钓鱼1小时内5元，此后每增加1个小时加收5元。因为在其它因素不变的情况下，小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钓鱼的时间越长，越可能钓到鱼。</w:t>
      </w:r>
    </w:p>
    <w:p w:rsidR="00672C79" w:rsidRDefault="00672C79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672C79" w:rsidRDefault="00672C79">
      <w:pPr>
        <w:spacing w:line="560" w:lineRule="exact"/>
        <w:rPr>
          <w:rFonts w:ascii="仿宋" w:eastAsia="仿宋" w:hAnsi="仿宋"/>
          <w:sz w:val="32"/>
        </w:rPr>
      </w:pPr>
    </w:p>
    <w:p w:rsidR="00672C79" w:rsidRDefault="00792C5D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672C79" w:rsidRDefault="00672C79">
      <w:pPr>
        <w:spacing w:line="560" w:lineRule="exact"/>
        <w:rPr>
          <w:rFonts w:ascii="仿宋" w:eastAsia="仿宋" w:hAnsi="仿宋"/>
          <w:sz w:val="32"/>
        </w:rPr>
      </w:pPr>
    </w:p>
    <w:p w:rsidR="00672C79" w:rsidRDefault="00792C5D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4F4C815" wp14:editId="2DACA226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72C79" w:rsidRDefault="00792C5D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672C79" w:rsidRDefault="00792C5D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67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BA5"/>
    <w:multiLevelType w:val="multilevel"/>
    <w:tmpl w:val="37131BA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73B27"/>
    <w:rsid w:val="0020392E"/>
    <w:rsid w:val="00254873"/>
    <w:rsid w:val="00273878"/>
    <w:rsid w:val="00280762"/>
    <w:rsid w:val="002B4453"/>
    <w:rsid w:val="003042E9"/>
    <w:rsid w:val="0032412C"/>
    <w:rsid w:val="003E1D15"/>
    <w:rsid w:val="004352D8"/>
    <w:rsid w:val="004A65EE"/>
    <w:rsid w:val="005A5EA9"/>
    <w:rsid w:val="00672C79"/>
    <w:rsid w:val="00792C5D"/>
    <w:rsid w:val="00924E1A"/>
    <w:rsid w:val="00B44386"/>
    <w:rsid w:val="00B47BC0"/>
    <w:rsid w:val="00BF607F"/>
    <w:rsid w:val="00C223E8"/>
    <w:rsid w:val="00CD5C62"/>
    <w:rsid w:val="00CF24AA"/>
    <w:rsid w:val="00D561B4"/>
    <w:rsid w:val="00D801F4"/>
    <w:rsid w:val="00EF0751"/>
    <w:rsid w:val="09D978EA"/>
    <w:rsid w:val="336F2770"/>
    <w:rsid w:val="48B82223"/>
    <w:rsid w:val="686C4009"/>
    <w:rsid w:val="6BB700EA"/>
    <w:rsid w:val="6F5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paragraph" w:styleId="a6">
    <w:name w:val="annotation subject"/>
    <w:basedOn w:val="a3"/>
    <w:next w:val="a3"/>
    <w:link w:val="Char1"/>
    <w:uiPriority w:val="99"/>
    <w:semiHidden/>
    <w:unhideWhenUsed/>
    <w:rsid w:val="00D561B4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D561B4"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rsid w:val="00D561B4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paragraph" w:styleId="a6">
    <w:name w:val="annotation subject"/>
    <w:basedOn w:val="a3"/>
    <w:next w:val="a3"/>
    <w:link w:val="Char1"/>
    <w:uiPriority w:val="99"/>
    <w:semiHidden/>
    <w:unhideWhenUsed/>
    <w:rsid w:val="00D561B4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D561B4"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rsid w:val="00D561B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D08BF-0FB4-4BFB-86F9-A09D4CB3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4</cp:revision>
  <dcterms:created xsi:type="dcterms:W3CDTF">2022-09-29T09:40:00Z</dcterms:created>
  <dcterms:modified xsi:type="dcterms:W3CDTF">2022-10-12T01:12:00Z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A8AB2B6D582D406EA354CAFA01B96E26</vt:lpwstr>
  </property>
</Properties>
</file>