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53" w:rsidRDefault="002B4453">
      <w:pPr>
        <w:rPr>
          <w:rFonts w:hint="eastAsia"/>
        </w:rPr>
      </w:pPr>
      <w:bookmarkStart w:id="0" w:name="_GoBack"/>
    </w:p>
    <w:p w:rsidR="002B4453" w:rsidRDefault="002B4453"/>
    <w:p w:rsidR="002B4453" w:rsidRDefault="002B4453"/>
    <w:p w:rsidR="002B4453" w:rsidRDefault="003E1D15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金融知识普及月</w:t>
      </w:r>
      <w:proofErr w:type="gramStart"/>
      <w:r>
        <w:rPr>
          <w:rFonts w:ascii="方正小标宋简体" w:eastAsia="方正小标宋简体" w:hAnsi="方正小标宋简体" w:hint="eastAsia"/>
          <w:sz w:val="44"/>
        </w:rPr>
        <w:t>丨</w:t>
      </w:r>
      <w:proofErr w:type="gramEnd"/>
      <w:r>
        <w:rPr>
          <w:rFonts w:ascii="方正小标宋简体" w:eastAsia="方正小标宋简体" w:hAnsi="方正小标宋简体" w:hint="eastAsia"/>
          <w:sz w:val="44"/>
        </w:rPr>
        <w:t>期权入市手册（三）：</w:t>
      </w:r>
      <w:r>
        <w:rPr>
          <w:rFonts w:ascii="方正小标宋简体" w:eastAsia="方正小标宋简体" w:hAnsi="方正小标宋简体"/>
          <w:sz w:val="44"/>
        </w:rPr>
        <w:br/>
      </w:r>
      <w:r>
        <w:rPr>
          <w:rFonts w:ascii="方正小标宋简体" w:eastAsia="方正小标宋简体" w:hAnsi="方正小标宋简体" w:hint="eastAsia"/>
          <w:sz w:val="44"/>
        </w:rPr>
        <w:t>期权的合约要素（下）</w:t>
      </w:r>
    </w:p>
    <w:p w:rsidR="002B4453" w:rsidRDefault="002B4453"/>
    <w:p w:rsidR="002B4453" w:rsidRDefault="002B4453"/>
    <w:p w:rsidR="002B4453" w:rsidRDefault="002B4453"/>
    <w:p w:rsidR="002B4453" w:rsidRDefault="003E1D15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编者按：2022年9月19日，深市期权新品种——创业板ETF期权（159915）、中证500ETF期权（159922）上市交易。为</w:t>
      </w:r>
      <w:r w:rsidR="00CD5C62">
        <w:rPr>
          <w:rFonts w:ascii="仿宋" w:eastAsia="仿宋" w:hAnsi="仿宋" w:hint="eastAsia"/>
          <w:sz w:val="32"/>
        </w:rPr>
        <w:t>帮助投资者系统了解期权产品特征、理性参与期权交易、有效提升风险管理能力，深交所联合市场机构推出“期权入市手册”系列连载文章。</w:t>
      </w:r>
      <w:r>
        <w:rPr>
          <w:rFonts w:ascii="仿宋" w:eastAsia="仿宋" w:hAnsi="仿宋" w:hint="eastAsia"/>
          <w:sz w:val="32"/>
        </w:rPr>
        <w:t>今天是第3期，让我们继续学习期权的合约要素吧！</w:t>
      </w:r>
    </w:p>
    <w:p w:rsidR="002B4453" w:rsidRDefault="002B4453">
      <w:pPr>
        <w:spacing w:line="560" w:lineRule="exact"/>
        <w:rPr>
          <w:rFonts w:ascii="仿宋" w:eastAsia="仿宋" w:hAnsi="仿宋"/>
          <w:sz w:val="32"/>
        </w:rPr>
      </w:pPr>
    </w:p>
    <w:p w:rsidR="002B4453" w:rsidRDefault="003E1D15">
      <w:pPr>
        <w:numPr>
          <w:ilvl w:val="0"/>
          <w:numId w:val="1"/>
        </w:numPr>
        <w:spacing w:line="560" w:lineRule="exact"/>
        <w:ind w:left="0" w:firstLineChars="200" w:firstLine="643"/>
        <w:rPr>
          <w:rFonts w:ascii="仿宋" w:eastAsia="仿宋" w:hAnsi="仿宋"/>
          <w:b/>
          <w:bCs/>
          <w:sz w:val="32"/>
        </w:rPr>
      </w:pPr>
      <w:bookmarkStart w:id="1" w:name="_Toc110967962"/>
      <w:r>
        <w:rPr>
          <w:rFonts w:ascii="仿宋" w:eastAsia="仿宋" w:hAnsi="仿宋" w:hint="eastAsia"/>
          <w:b/>
          <w:bCs/>
          <w:sz w:val="32"/>
        </w:rPr>
        <w:t>什么是期权的合约单位？</w:t>
      </w:r>
      <w:bookmarkEnd w:id="1"/>
      <w:r>
        <w:rPr>
          <w:rFonts w:ascii="仿宋" w:eastAsia="仿宋" w:hAnsi="仿宋"/>
          <w:b/>
          <w:bCs/>
          <w:sz w:val="32"/>
        </w:rPr>
        <w:t xml:space="preserve"> </w:t>
      </w:r>
    </w:p>
    <w:p w:rsidR="002B4453" w:rsidRDefault="003E1D15">
      <w:pPr>
        <w:spacing w:line="560" w:lineRule="exact"/>
        <w:ind w:firstLineChars="200" w:firstLine="643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b/>
          <w:sz w:val="32"/>
        </w:rPr>
        <w:t>期权的合约单位</w:t>
      </w:r>
      <w:r>
        <w:rPr>
          <w:rFonts w:ascii="仿宋" w:eastAsia="仿宋" w:hAnsi="仿宋" w:hint="eastAsia"/>
          <w:sz w:val="32"/>
        </w:rPr>
        <w:t>是指单张期权合约对应标的（如股票或ETF）的数量，</w:t>
      </w:r>
      <w:proofErr w:type="gramStart"/>
      <w:r>
        <w:rPr>
          <w:rFonts w:ascii="仿宋" w:eastAsia="仿宋" w:hAnsi="仿宋" w:hint="eastAsia"/>
          <w:sz w:val="32"/>
        </w:rPr>
        <w:t>不</w:t>
      </w:r>
      <w:proofErr w:type="gramEnd"/>
      <w:r>
        <w:rPr>
          <w:rFonts w:ascii="仿宋" w:eastAsia="仿宋" w:hAnsi="仿宋" w:hint="eastAsia"/>
          <w:sz w:val="32"/>
        </w:rPr>
        <w:t>同期权标的对应的合约单位可能不一样。</w:t>
      </w:r>
    </w:p>
    <w:p w:rsidR="002B4453" w:rsidRDefault="003E1D15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以深交</w:t>
      </w:r>
      <w:proofErr w:type="gramStart"/>
      <w:r>
        <w:rPr>
          <w:rFonts w:ascii="仿宋" w:eastAsia="仿宋" w:hAnsi="仿宋" w:hint="eastAsia"/>
          <w:sz w:val="32"/>
        </w:rPr>
        <w:t>所创业</w:t>
      </w:r>
      <w:proofErr w:type="gramEnd"/>
      <w:r>
        <w:rPr>
          <w:rFonts w:ascii="仿宋" w:eastAsia="仿宋" w:hAnsi="仿宋" w:hint="eastAsia"/>
          <w:sz w:val="32"/>
        </w:rPr>
        <w:t>板ETF期权为例，其标准化合约单位为10,000份，即投资者如持有一张标准化认购期权合约，行权时可按照行权价买入10,000份易方</w:t>
      </w:r>
      <w:proofErr w:type="gramStart"/>
      <w:r>
        <w:rPr>
          <w:rFonts w:ascii="仿宋" w:eastAsia="仿宋" w:hAnsi="仿宋" w:hint="eastAsia"/>
          <w:sz w:val="32"/>
        </w:rPr>
        <w:t>达创业</w:t>
      </w:r>
      <w:proofErr w:type="gramEnd"/>
      <w:r>
        <w:rPr>
          <w:rFonts w:ascii="仿宋" w:eastAsia="仿宋" w:hAnsi="仿宋" w:hint="eastAsia"/>
          <w:sz w:val="32"/>
        </w:rPr>
        <w:t>板ETF;如持有一张标准化认沽期权合约，行权时可按照行权价卖出10,000份易方</w:t>
      </w:r>
      <w:proofErr w:type="gramStart"/>
      <w:r>
        <w:rPr>
          <w:rFonts w:ascii="仿宋" w:eastAsia="仿宋" w:hAnsi="仿宋" w:hint="eastAsia"/>
          <w:sz w:val="32"/>
        </w:rPr>
        <w:t>达创业</w:t>
      </w:r>
      <w:proofErr w:type="gramEnd"/>
      <w:r>
        <w:rPr>
          <w:rFonts w:ascii="仿宋" w:eastAsia="仿宋" w:hAnsi="仿宋" w:hint="eastAsia"/>
          <w:sz w:val="32"/>
        </w:rPr>
        <w:t>板ETF。</w:t>
      </w:r>
    </w:p>
    <w:p w:rsidR="002B4453" w:rsidRDefault="002B4453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2B4453" w:rsidRDefault="003E1D15">
      <w:pPr>
        <w:numPr>
          <w:ilvl w:val="0"/>
          <w:numId w:val="1"/>
        </w:numPr>
        <w:spacing w:line="560" w:lineRule="exact"/>
        <w:ind w:left="0" w:firstLineChars="200" w:firstLine="643"/>
        <w:rPr>
          <w:rFonts w:ascii="仿宋" w:eastAsia="仿宋" w:hAnsi="仿宋"/>
          <w:b/>
          <w:bCs/>
          <w:sz w:val="32"/>
        </w:rPr>
      </w:pPr>
      <w:bookmarkStart w:id="2" w:name="_Toc110967963"/>
      <w:r>
        <w:rPr>
          <w:rFonts w:ascii="仿宋" w:eastAsia="仿宋" w:hAnsi="仿宋" w:hint="eastAsia"/>
          <w:b/>
          <w:bCs/>
          <w:sz w:val="32"/>
        </w:rPr>
        <w:t>期权的竞价交易方式是什么？</w:t>
      </w:r>
      <w:bookmarkEnd w:id="2"/>
    </w:p>
    <w:p w:rsidR="002B4453" w:rsidRDefault="003E1D15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期权竞价交易方式有集合竞价和连续竞价两种方式。其中，</w:t>
      </w:r>
      <w:r>
        <w:rPr>
          <w:rFonts w:ascii="仿宋" w:eastAsia="仿宋" w:hAnsi="仿宋" w:hint="eastAsia"/>
          <w:b/>
          <w:sz w:val="32"/>
        </w:rPr>
        <w:t>集合竞价</w:t>
      </w:r>
      <w:r>
        <w:rPr>
          <w:rFonts w:ascii="仿宋" w:eastAsia="仿宋" w:hAnsi="仿宋" w:hint="eastAsia"/>
          <w:sz w:val="32"/>
        </w:rPr>
        <w:t>指在规定时间内对接受的买卖申报一次性集中</w:t>
      </w:r>
      <w:r>
        <w:rPr>
          <w:rFonts w:ascii="仿宋" w:eastAsia="仿宋" w:hAnsi="仿宋" w:hint="eastAsia"/>
          <w:sz w:val="32"/>
        </w:rPr>
        <w:lastRenderedPageBreak/>
        <w:t>撮合，</w:t>
      </w:r>
      <w:r>
        <w:rPr>
          <w:rFonts w:ascii="仿宋" w:eastAsia="仿宋" w:hAnsi="仿宋" w:hint="eastAsia"/>
          <w:b/>
          <w:sz w:val="32"/>
        </w:rPr>
        <w:t>连续竞价</w:t>
      </w:r>
      <w:r>
        <w:rPr>
          <w:rFonts w:ascii="仿宋" w:eastAsia="仿宋" w:hAnsi="仿宋" w:hint="eastAsia"/>
          <w:sz w:val="32"/>
        </w:rPr>
        <w:t>指对买卖申报逐笔连续撮合。</w:t>
      </w:r>
    </w:p>
    <w:p w:rsidR="002B4453" w:rsidRDefault="002B4453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2B4453" w:rsidRDefault="003E1D15">
      <w:pPr>
        <w:numPr>
          <w:ilvl w:val="0"/>
          <w:numId w:val="1"/>
        </w:numPr>
        <w:spacing w:line="560" w:lineRule="exact"/>
        <w:ind w:left="0" w:firstLineChars="200" w:firstLine="643"/>
        <w:rPr>
          <w:rFonts w:ascii="仿宋" w:eastAsia="仿宋" w:hAnsi="仿宋"/>
          <w:b/>
          <w:bCs/>
          <w:sz w:val="32"/>
        </w:rPr>
      </w:pPr>
      <w:bookmarkStart w:id="3" w:name="_Toc110967964"/>
      <w:r>
        <w:rPr>
          <w:rFonts w:ascii="仿宋" w:eastAsia="仿宋" w:hAnsi="仿宋" w:hint="eastAsia"/>
          <w:b/>
          <w:bCs/>
          <w:sz w:val="32"/>
        </w:rPr>
        <w:t>期权的交割方式是什么？</w:t>
      </w:r>
      <w:bookmarkEnd w:id="3"/>
    </w:p>
    <w:p w:rsidR="002B4453" w:rsidRDefault="003E1D15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交割方式分为实物交割和现金交割。其中，</w:t>
      </w:r>
      <w:r>
        <w:rPr>
          <w:rFonts w:ascii="仿宋" w:eastAsia="仿宋" w:hAnsi="仿宋" w:hint="eastAsia"/>
          <w:b/>
          <w:sz w:val="32"/>
        </w:rPr>
        <w:t>实物交割</w:t>
      </w:r>
      <w:r>
        <w:rPr>
          <w:rFonts w:ascii="仿宋" w:eastAsia="仿宋" w:hAnsi="仿宋" w:hint="eastAsia"/>
          <w:sz w:val="32"/>
        </w:rPr>
        <w:t>指期权买卖双方按照约定，实际交割标的资产；</w:t>
      </w:r>
      <w:r>
        <w:rPr>
          <w:rFonts w:ascii="仿宋" w:eastAsia="仿宋" w:hAnsi="仿宋" w:hint="eastAsia"/>
          <w:b/>
          <w:sz w:val="32"/>
        </w:rPr>
        <w:t>现金交割</w:t>
      </w:r>
      <w:r>
        <w:rPr>
          <w:rFonts w:ascii="仿宋" w:eastAsia="仿宋" w:hAnsi="仿宋" w:hint="eastAsia"/>
          <w:sz w:val="32"/>
        </w:rPr>
        <w:t>则指期权买卖双方按照结算价格，以现金形式支付价差，不涉及标的资产的交割。</w:t>
      </w:r>
    </w:p>
    <w:p w:rsidR="002B4453" w:rsidRDefault="003E1D15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除特定情形外，深市期权一般采用实物交割。例如，认购期权买方根据约定价格从认购期权卖方买入约定数量的标的E</w:t>
      </w:r>
      <w:r>
        <w:rPr>
          <w:rFonts w:ascii="仿宋" w:eastAsia="仿宋" w:hAnsi="仿宋"/>
          <w:sz w:val="32"/>
        </w:rPr>
        <w:t>TF</w:t>
      </w:r>
      <w:r>
        <w:rPr>
          <w:rFonts w:ascii="仿宋" w:eastAsia="仿宋" w:hAnsi="仿宋" w:hint="eastAsia"/>
          <w:sz w:val="32"/>
        </w:rPr>
        <w:t>；认沽期权买方根据约定价格向认沽期权卖方卖出约定数量的标的E</w:t>
      </w:r>
      <w:r>
        <w:rPr>
          <w:rFonts w:ascii="仿宋" w:eastAsia="仿宋" w:hAnsi="仿宋"/>
          <w:sz w:val="32"/>
        </w:rPr>
        <w:t>TF</w:t>
      </w:r>
      <w:r>
        <w:rPr>
          <w:rFonts w:ascii="仿宋" w:eastAsia="仿宋" w:hAnsi="仿宋" w:hint="eastAsia"/>
          <w:sz w:val="32"/>
        </w:rPr>
        <w:t>。</w:t>
      </w:r>
    </w:p>
    <w:p w:rsidR="002B4453" w:rsidRDefault="002B4453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2B4453" w:rsidRDefault="003E1D15">
      <w:pPr>
        <w:numPr>
          <w:ilvl w:val="0"/>
          <w:numId w:val="1"/>
        </w:numPr>
        <w:spacing w:line="560" w:lineRule="exact"/>
        <w:ind w:left="0" w:firstLineChars="200" w:firstLine="643"/>
        <w:rPr>
          <w:rFonts w:ascii="仿宋" w:eastAsia="仿宋" w:hAnsi="仿宋"/>
          <w:b/>
          <w:bCs/>
          <w:sz w:val="32"/>
        </w:rPr>
      </w:pPr>
      <w:bookmarkStart w:id="4" w:name="_Toc110967965"/>
      <w:r>
        <w:rPr>
          <w:rFonts w:ascii="仿宋" w:eastAsia="仿宋" w:hAnsi="仿宋" w:hint="eastAsia"/>
          <w:b/>
          <w:bCs/>
          <w:sz w:val="32"/>
        </w:rPr>
        <w:t>期权合约涉及哪些要素？</w:t>
      </w:r>
      <w:bookmarkEnd w:id="4"/>
    </w:p>
    <w:p w:rsidR="002B4453" w:rsidRDefault="003E1D15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期权合约的要素主要包括合约标的、合约类型、到期月份、行权价等。期权的合约简称反映了期权的基本要素信息。</w:t>
      </w:r>
    </w:p>
    <w:p w:rsidR="002B4453" w:rsidRDefault="003E1D15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以深交所创业板ETF期权合约“创业板ETF购10月2500”为例，该</w:t>
      </w:r>
      <w:r>
        <w:rPr>
          <w:rFonts w:ascii="仿宋" w:eastAsia="仿宋" w:hAnsi="仿宋" w:hint="eastAsia"/>
          <w:b/>
          <w:sz w:val="32"/>
        </w:rPr>
        <w:t>期权合约简称</w:t>
      </w:r>
      <w:r>
        <w:rPr>
          <w:rFonts w:ascii="仿宋" w:eastAsia="仿宋" w:hAnsi="仿宋" w:hint="eastAsia"/>
          <w:sz w:val="32"/>
        </w:rPr>
        <w:t>实际上包括了合约标的（创业板ETF）、期权的合约类型（认购期权）、到期月份（10月）、以及期权的行权价（2.500元）等四个期权的基本要素信息。</w:t>
      </w:r>
    </w:p>
    <w:p w:rsidR="002B4453" w:rsidRDefault="002B4453">
      <w:pPr>
        <w:spacing w:line="560" w:lineRule="exact"/>
        <w:rPr>
          <w:rFonts w:ascii="仿宋" w:eastAsia="仿宋" w:hAnsi="仿宋"/>
          <w:sz w:val="32"/>
        </w:rPr>
      </w:pPr>
    </w:p>
    <w:p w:rsidR="00CD5C62" w:rsidRDefault="00CD5C62" w:rsidP="00CD5C62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（“期权入市手册”系列文章支持单位：广发证券、国泰君安证券、华泰证券、嘉实基金、易方达基金、招商证券、中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</w:rPr>
        <w:t>信建投证券</w:t>
      </w:r>
      <w:proofErr w:type="gramEnd"/>
      <w:r>
        <w:rPr>
          <w:rFonts w:ascii="仿宋" w:eastAsia="仿宋" w:hAnsi="仿宋" w:hint="eastAsia"/>
          <w:sz w:val="32"/>
        </w:rPr>
        <w:t>（按音序排列，排名不分先后））</w:t>
      </w:r>
    </w:p>
    <w:p w:rsidR="002B4453" w:rsidRPr="00CD5C62" w:rsidRDefault="002B4453">
      <w:pPr>
        <w:spacing w:line="560" w:lineRule="exact"/>
        <w:rPr>
          <w:rFonts w:ascii="仿宋" w:eastAsia="仿宋" w:hAnsi="仿宋"/>
          <w:sz w:val="32"/>
        </w:rPr>
      </w:pPr>
    </w:p>
    <w:p w:rsidR="002B4453" w:rsidRDefault="003E1D15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B4453" w:rsidRDefault="003E1D15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9pt;margin-top:0;width:111.1pt;height:19.25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" o:allowincell="f" strokecolor="red" strokeweight="1.5pt">
                <v:fill opacity="49087f"/>
                <v:textbox style="mso-fit-shape-to-text:t" inset="1mm,1mm,1mm,1mm">
                  <w:txbxContent>
                    <w:p w:rsidR="002B4453" w:rsidRDefault="003E1D15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0"/>
    </w:p>
    <w:sectPr w:rsidR="002B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D25C98" w15:done="0"/>
  <w15:commentEx w15:paraId="322D5C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7E4"/>
    <w:multiLevelType w:val="multilevel"/>
    <w:tmpl w:val="4AB257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1BA2"/>
    <w:rsid w:val="00024E42"/>
    <w:rsid w:val="0020392E"/>
    <w:rsid w:val="00273878"/>
    <w:rsid w:val="002B4453"/>
    <w:rsid w:val="0032412C"/>
    <w:rsid w:val="003E1D15"/>
    <w:rsid w:val="008728F4"/>
    <w:rsid w:val="00B44386"/>
    <w:rsid w:val="00BF607F"/>
    <w:rsid w:val="00CD5C62"/>
    <w:rsid w:val="00CF24AA"/>
    <w:rsid w:val="00D801F4"/>
    <w:rsid w:val="48B82223"/>
    <w:rsid w:val="686C4009"/>
    <w:rsid w:val="6BB700EA"/>
    <w:rsid w:val="6F5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3E1D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D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3E1D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D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5</cp:revision>
  <dcterms:created xsi:type="dcterms:W3CDTF">2022-09-20T10:51:00Z</dcterms:created>
  <dcterms:modified xsi:type="dcterms:W3CDTF">2022-09-28T01:35:00Z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50CA7C8F7DA247F982D1EAE1997B54FD</vt:lpwstr>
  </property>
</Properties>
</file>