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5C" w:rsidRDefault="00DA455C"/>
    <w:p w:rsidR="00DA455C" w:rsidRDefault="00DA455C"/>
    <w:p w:rsidR="00DA455C" w:rsidRDefault="00DA455C"/>
    <w:p w:rsidR="00DA455C" w:rsidRDefault="0037639B">
      <w:pPr>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深交所投教</w:t>
      </w:r>
      <w:proofErr w:type="gramStart"/>
      <w:r w:rsidR="00907E91">
        <w:rPr>
          <w:rFonts w:ascii="方正小标宋简体" w:eastAsia="方正小标宋简体" w:hAnsi="方正小标宋简体" w:hint="eastAsia"/>
          <w:sz w:val="44"/>
        </w:rPr>
        <w:t>丨</w:t>
      </w:r>
      <w:proofErr w:type="gramEnd"/>
      <w:r w:rsidR="00907E91">
        <w:rPr>
          <w:rFonts w:ascii="方正小标宋简体" w:eastAsia="方正小标宋简体" w:hAnsi="方正小标宋简体" w:hint="eastAsia"/>
          <w:sz w:val="44"/>
        </w:rPr>
        <w:t>期权入市手册（十二）：</w:t>
      </w:r>
      <w:r w:rsidR="00907E91">
        <w:rPr>
          <w:rFonts w:ascii="方正小标宋简体" w:eastAsia="方正小标宋简体" w:hAnsi="方正小标宋简体"/>
          <w:sz w:val="44"/>
        </w:rPr>
        <w:br/>
      </w:r>
      <w:r w:rsidR="00907E91">
        <w:rPr>
          <w:rFonts w:ascii="方正小标宋简体" w:eastAsia="方正小标宋简体" w:hAnsi="方正小标宋简体" w:hint="eastAsia"/>
          <w:sz w:val="44"/>
        </w:rPr>
        <w:t>深市期权交易制度（下）</w:t>
      </w:r>
    </w:p>
    <w:p w:rsidR="00DA455C" w:rsidRDefault="00DA455C"/>
    <w:p w:rsidR="00DA455C" w:rsidRDefault="00DA455C"/>
    <w:p w:rsidR="00DA455C" w:rsidRDefault="00DA455C"/>
    <w:p w:rsidR="00DA455C" w:rsidRDefault="00907E91">
      <w:pPr>
        <w:spacing w:line="560" w:lineRule="exact"/>
        <w:rPr>
          <w:rFonts w:ascii="仿宋" w:eastAsia="仿宋" w:hAnsi="仿宋"/>
          <w:sz w:val="32"/>
        </w:rPr>
      </w:pPr>
      <w:r>
        <w:rPr>
          <w:rFonts w:ascii="仿宋" w:eastAsia="仿宋" w:hAnsi="仿宋" w:hint="eastAsia"/>
          <w:sz w:val="32"/>
        </w:rPr>
        <w:t>编者按：2022年9月19日，深市期权新品种——创业板ETF期权（</w:t>
      </w:r>
      <w:r w:rsidR="00BF07A3">
        <w:rPr>
          <w:rFonts w:ascii="仿宋" w:eastAsia="仿宋" w:hAnsi="仿宋" w:hint="eastAsia"/>
          <w:sz w:val="32"/>
        </w:rPr>
        <w:t>标的为创业板ETF，代码</w:t>
      </w:r>
      <w:r>
        <w:rPr>
          <w:rFonts w:ascii="仿宋" w:eastAsia="仿宋" w:hAnsi="仿宋" w:hint="eastAsia"/>
          <w:sz w:val="32"/>
        </w:rPr>
        <w:t>1</w:t>
      </w:r>
      <w:bookmarkStart w:id="0" w:name="_GoBack"/>
      <w:bookmarkEnd w:id="0"/>
      <w:r>
        <w:rPr>
          <w:rFonts w:ascii="仿宋" w:eastAsia="仿宋" w:hAnsi="仿宋" w:hint="eastAsia"/>
          <w:sz w:val="32"/>
        </w:rPr>
        <w:t>59915）、中证500ETF期权（</w:t>
      </w:r>
      <w:r w:rsidR="00BF07A3">
        <w:rPr>
          <w:rFonts w:ascii="仿宋" w:eastAsia="仿宋" w:hAnsi="仿宋" w:hint="eastAsia"/>
          <w:sz w:val="32"/>
        </w:rPr>
        <w:t>标的为中证500ETF，代码</w:t>
      </w:r>
      <w:r>
        <w:rPr>
          <w:rFonts w:ascii="仿宋" w:eastAsia="仿宋" w:hAnsi="仿宋" w:hint="eastAsia"/>
          <w:sz w:val="32"/>
        </w:rPr>
        <w:t>159922）上市交易。为帮助投资者系统了解期权产品特征、理性参与期权交易、有效提升风险管理能力，深交所联合市场机构推出“期权入市手册”系列连载文章。今天是第12期，让我们继续了解深市期权的交易制度吧！</w:t>
      </w:r>
    </w:p>
    <w:p w:rsidR="00DA455C" w:rsidRDefault="00DA455C">
      <w:pPr>
        <w:spacing w:line="560" w:lineRule="exact"/>
        <w:rPr>
          <w:rFonts w:ascii="仿宋" w:eastAsia="仿宋" w:hAnsi="仿宋"/>
          <w:sz w:val="32"/>
        </w:rPr>
      </w:pPr>
    </w:p>
    <w:p w:rsidR="00DA455C" w:rsidRDefault="00907E91">
      <w:pPr>
        <w:keepNext/>
        <w:keepLines/>
        <w:numPr>
          <w:ilvl w:val="0"/>
          <w:numId w:val="1"/>
        </w:numPr>
        <w:spacing w:line="560" w:lineRule="exact"/>
        <w:ind w:left="0" w:firstLineChars="200" w:firstLine="643"/>
        <w:outlineLvl w:val="2"/>
        <w:rPr>
          <w:rFonts w:ascii="仿宋" w:eastAsia="仿宋" w:hAnsi="仿宋" w:cs="Times New Roman"/>
          <w:b/>
          <w:bCs/>
          <w:sz w:val="32"/>
          <w:szCs w:val="32"/>
        </w:rPr>
      </w:pPr>
      <w:bookmarkStart w:id="1" w:name="_Toc110968004"/>
      <w:r>
        <w:rPr>
          <w:rFonts w:ascii="仿宋" w:eastAsia="仿宋" w:hAnsi="仿宋" w:cs="Times New Roman"/>
          <w:b/>
          <w:bCs/>
          <w:sz w:val="32"/>
          <w:szCs w:val="32"/>
        </w:rPr>
        <w:t>投资者应当如何行权？</w:t>
      </w:r>
      <w:bookmarkEnd w:id="1"/>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期权买方可以根据行权收益情况</w:t>
      </w:r>
      <w:r>
        <w:rPr>
          <w:rFonts w:ascii="仿宋" w:eastAsia="仿宋" w:hAnsi="仿宋" w:cs="Times New Roman" w:hint="eastAsia"/>
          <w:sz w:val="32"/>
          <w:szCs w:val="32"/>
        </w:rPr>
        <w:t>，</w:t>
      </w:r>
      <w:r>
        <w:rPr>
          <w:rFonts w:ascii="仿宋" w:eastAsia="仿宋" w:hAnsi="仿宋" w:cs="Times New Roman"/>
          <w:sz w:val="32"/>
          <w:szCs w:val="32"/>
        </w:rPr>
        <w:t>决定在</w:t>
      </w:r>
      <w:r>
        <w:rPr>
          <w:rFonts w:ascii="仿宋" w:eastAsia="仿宋" w:hAnsi="仿宋" w:cs="Times New Roman" w:hint="eastAsia"/>
          <w:sz w:val="32"/>
          <w:szCs w:val="32"/>
        </w:rPr>
        <w:t>行权日</w:t>
      </w:r>
      <w:r>
        <w:rPr>
          <w:rFonts w:ascii="仿宋" w:eastAsia="仿宋" w:hAnsi="仿宋" w:cs="Times New Roman"/>
          <w:sz w:val="32"/>
          <w:szCs w:val="32"/>
        </w:rPr>
        <w:t>是否行权</w:t>
      </w:r>
      <w:r>
        <w:rPr>
          <w:rFonts w:ascii="仿宋" w:eastAsia="仿宋" w:hAnsi="仿宋" w:cs="Times New Roman" w:hint="eastAsia"/>
          <w:sz w:val="32"/>
          <w:szCs w:val="32"/>
        </w:rPr>
        <w:t>。</w:t>
      </w:r>
      <w:r>
        <w:rPr>
          <w:rFonts w:ascii="仿宋" w:eastAsia="仿宋" w:hAnsi="仿宋" w:cs="Times New Roman"/>
          <w:sz w:val="32"/>
          <w:szCs w:val="32"/>
        </w:rPr>
        <w:t>行权日当日买入的期权合约，当日可以行权。</w:t>
      </w:r>
      <w:r>
        <w:rPr>
          <w:rFonts w:ascii="仿宋" w:eastAsia="仿宋" w:hAnsi="仿宋" w:cs="Times New Roman"/>
          <w:b/>
          <w:sz w:val="32"/>
          <w:szCs w:val="32"/>
        </w:rPr>
        <w:t>行权申报时间</w:t>
      </w:r>
      <w:r>
        <w:rPr>
          <w:rFonts w:ascii="仿宋" w:eastAsia="仿宋" w:hAnsi="仿宋" w:cs="Times New Roman"/>
          <w:sz w:val="32"/>
          <w:szCs w:val="32"/>
        </w:rPr>
        <w:t>为行权日的9:15至11:30、13:00至15:30。</w:t>
      </w:r>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期权买方可对所持有的相同合约标的认购期权和认沽期权进行</w:t>
      </w:r>
      <w:r>
        <w:rPr>
          <w:rFonts w:ascii="仿宋" w:eastAsia="仿宋" w:hAnsi="仿宋" w:cs="Times New Roman"/>
          <w:b/>
          <w:sz w:val="32"/>
          <w:szCs w:val="32"/>
        </w:rPr>
        <w:t>合并申报行权</w:t>
      </w:r>
      <w:r>
        <w:rPr>
          <w:rFonts w:ascii="仿宋" w:eastAsia="仿宋" w:hAnsi="仿宋" w:cs="Times New Roman" w:hint="eastAsia"/>
          <w:sz w:val="32"/>
          <w:szCs w:val="32"/>
        </w:rPr>
        <w:t>，</w:t>
      </w:r>
      <w:r>
        <w:rPr>
          <w:rFonts w:ascii="仿宋" w:eastAsia="仿宋" w:hAnsi="仿宋" w:cs="Times New Roman"/>
          <w:sz w:val="32"/>
          <w:szCs w:val="32"/>
        </w:rPr>
        <w:t>合并申报行权的时间为行权日的15:00至15:30。</w:t>
      </w:r>
    </w:p>
    <w:p w:rsidR="00DA455C" w:rsidRDefault="00DA455C">
      <w:pPr>
        <w:spacing w:line="560" w:lineRule="exact"/>
        <w:ind w:firstLineChars="200" w:firstLine="640"/>
        <w:rPr>
          <w:rFonts w:ascii="仿宋" w:eastAsia="仿宋" w:hAnsi="仿宋" w:cs="Times New Roman"/>
          <w:sz w:val="32"/>
          <w:szCs w:val="32"/>
        </w:rPr>
      </w:pPr>
    </w:p>
    <w:p w:rsidR="00DA455C" w:rsidRDefault="00907E91">
      <w:pPr>
        <w:keepNext/>
        <w:keepLines/>
        <w:numPr>
          <w:ilvl w:val="0"/>
          <w:numId w:val="1"/>
        </w:numPr>
        <w:spacing w:line="560" w:lineRule="exact"/>
        <w:ind w:left="0" w:firstLineChars="200" w:firstLine="643"/>
        <w:outlineLvl w:val="2"/>
        <w:rPr>
          <w:rFonts w:ascii="仿宋" w:eastAsia="仿宋" w:hAnsi="仿宋" w:cs="Times New Roman"/>
          <w:b/>
          <w:bCs/>
          <w:sz w:val="32"/>
          <w:szCs w:val="32"/>
        </w:rPr>
      </w:pPr>
      <w:bookmarkStart w:id="2" w:name="_Toc110968005"/>
      <w:r>
        <w:rPr>
          <w:rFonts w:ascii="仿宋" w:eastAsia="仿宋" w:hAnsi="仿宋" w:cs="Times New Roman"/>
          <w:b/>
          <w:bCs/>
          <w:sz w:val="32"/>
          <w:szCs w:val="32"/>
        </w:rPr>
        <w:t>行权交割违约怎么处理？</w:t>
      </w:r>
      <w:bookmarkEnd w:id="2"/>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一般情况下</w:t>
      </w:r>
      <w:r>
        <w:rPr>
          <w:rFonts w:ascii="仿宋" w:eastAsia="仿宋" w:hAnsi="仿宋" w:cs="Times New Roman" w:hint="eastAsia"/>
          <w:sz w:val="32"/>
          <w:szCs w:val="32"/>
        </w:rPr>
        <w:t>，</w:t>
      </w:r>
      <w:r>
        <w:rPr>
          <w:rFonts w:ascii="仿宋" w:eastAsia="仿宋" w:hAnsi="仿宋" w:cs="Times New Roman"/>
          <w:sz w:val="32"/>
          <w:szCs w:val="32"/>
        </w:rPr>
        <w:t>每个月第四个周三为当月期权合约的行权日，期权合约行权</w:t>
      </w:r>
      <w:proofErr w:type="gramStart"/>
      <w:r>
        <w:rPr>
          <w:rFonts w:ascii="仿宋" w:eastAsia="仿宋" w:hAnsi="仿宋" w:cs="Times New Roman"/>
          <w:sz w:val="32"/>
          <w:szCs w:val="32"/>
        </w:rPr>
        <w:t>交收日为</w:t>
      </w:r>
      <w:proofErr w:type="gramEnd"/>
      <w:r>
        <w:rPr>
          <w:rFonts w:ascii="仿宋" w:eastAsia="仿宋" w:hAnsi="仿宋" w:cs="Times New Roman"/>
          <w:sz w:val="32"/>
          <w:szCs w:val="32"/>
        </w:rPr>
        <w:t>行权日的次一交易日。被行权指</w:t>
      </w:r>
      <w:r>
        <w:rPr>
          <w:rFonts w:ascii="仿宋" w:eastAsia="仿宋" w:hAnsi="仿宋" w:cs="Times New Roman"/>
          <w:sz w:val="32"/>
          <w:szCs w:val="32"/>
        </w:rPr>
        <w:lastRenderedPageBreak/>
        <w:t>派的认购期权义务方应当在</w:t>
      </w:r>
      <w:proofErr w:type="gramStart"/>
      <w:r>
        <w:rPr>
          <w:rFonts w:ascii="仿宋" w:eastAsia="仿宋" w:hAnsi="仿宋" w:cs="Times New Roman" w:hint="eastAsia"/>
          <w:sz w:val="32"/>
          <w:szCs w:val="32"/>
        </w:rPr>
        <w:t>交收日</w:t>
      </w:r>
      <w:r>
        <w:rPr>
          <w:rFonts w:ascii="仿宋" w:eastAsia="仿宋" w:hAnsi="仿宋" w:cs="Times New Roman"/>
          <w:sz w:val="32"/>
          <w:szCs w:val="32"/>
        </w:rPr>
        <w:t>收盘</w:t>
      </w:r>
      <w:proofErr w:type="gramEnd"/>
      <w:r>
        <w:rPr>
          <w:rFonts w:ascii="仿宋" w:eastAsia="仿宋" w:hAnsi="仿宋" w:cs="Times New Roman"/>
          <w:sz w:val="32"/>
          <w:szCs w:val="32"/>
        </w:rPr>
        <w:t>前准备足额的标的证券，认沽期权义务方应当在</w:t>
      </w:r>
      <w:proofErr w:type="gramStart"/>
      <w:r>
        <w:rPr>
          <w:rFonts w:ascii="仿宋" w:eastAsia="仿宋" w:hAnsi="仿宋" w:cs="Times New Roman" w:hint="eastAsia"/>
          <w:sz w:val="32"/>
          <w:szCs w:val="32"/>
        </w:rPr>
        <w:t>交收日</w:t>
      </w:r>
      <w:r>
        <w:rPr>
          <w:rFonts w:ascii="仿宋" w:eastAsia="仿宋" w:hAnsi="仿宋" w:cs="Times New Roman"/>
          <w:sz w:val="32"/>
          <w:szCs w:val="32"/>
        </w:rPr>
        <w:t>收盘</w:t>
      </w:r>
      <w:proofErr w:type="gramEnd"/>
      <w:r>
        <w:rPr>
          <w:rFonts w:ascii="仿宋" w:eastAsia="仿宋" w:hAnsi="仿宋" w:cs="Times New Roman"/>
          <w:sz w:val="32"/>
          <w:szCs w:val="32"/>
        </w:rPr>
        <w:t>前准备足额的资金。</w:t>
      </w:r>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投资者在行权交割中出现应交付的合约标的不足，其合约账户持有未到期备兑开仓的，相应备兑证券将</w:t>
      </w:r>
      <w:r>
        <w:rPr>
          <w:rFonts w:ascii="仿宋" w:eastAsia="仿宋" w:hAnsi="仿宋" w:cs="Times New Roman" w:hint="eastAsia"/>
          <w:sz w:val="32"/>
          <w:szCs w:val="32"/>
        </w:rPr>
        <w:t>被</w:t>
      </w:r>
      <w:r>
        <w:rPr>
          <w:rFonts w:ascii="仿宋" w:eastAsia="仿宋" w:hAnsi="仿宋" w:cs="Times New Roman"/>
          <w:sz w:val="32"/>
          <w:szCs w:val="32"/>
        </w:rPr>
        <w:t>用于当日的行权交割。由此造成的备兑证券不足部分，将于日终转为普通仓。投资者出现行</w:t>
      </w:r>
      <w:proofErr w:type="gramStart"/>
      <w:r>
        <w:rPr>
          <w:rFonts w:ascii="仿宋" w:eastAsia="仿宋" w:hAnsi="仿宋" w:cs="Times New Roman"/>
          <w:sz w:val="32"/>
          <w:szCs w:val="32"/>
        </w:rPr>
        <w:t>权资金</w:t>
      </w:r>
      <w:proofErr w:type="gramEnd"/>
      <w:r>
        <w:rPr>
          <w:rFonts w:ascii="仿宋" w:eastAsia="仿宋" w:hAnsi="仿宋" w:cs="Times New Roman"/>
          <w:sz w:val="32"/>
          <w:szCs w:val="32"/>
        </w:rPr>
        <w:t>交收违约、行权证券交割违约的，期权经营机构有权按照期权经纪合同约定的标准向其收取相应违约金。</w:t>
      </w:r>
    </w:p>
    <w:p w:rsidR="00DA455C" w:rsidRDefault="00DA455C">
      <w:pPr>
        <w:spacing w:line="560" w:lineRule="exact"/>
        <w:ind w:firstLineChars="200" w:firstLine="640"/>
        <w:rPr>
          <w:rFonts w:ascii="仿宋" w:eastAsia="仿宋" w:hAnsi="仿宋" w:cs="Times New Roman"/>
          <w:sz w:val="32"/>
          <w:szCs w:val="32"/>
        </w:rPr>
      </w:pPr>
    </w:p>
    <w:p w:rsidR="00DA455C" w:rsidRDefault="00907E91">
      <w:pPr>
        <w:keepNext/>
        <w:keepLines/>
        <w:numPr>
          <w:ilvl w:val="0"/>
          <w:numId w:val="1"/>
        </w:numPr>
        <w:spacing w:line="560" w:lineRule="exact"/>
        <w:ind w:left="0" w:firstLineChars="200" w:firstLine="643"/>
        <w:outlineLvl w:val="2"/>
        <w:rPr>
          <w:rFonts w:ascii="仿宋" w:eastAsia="仿宋" w:hAnsi="仿宋" w:cs="Times New Roman"/>
          <w:b/>
          <w:bCs/>
          <w:sz w:val="32"/>
          <w:szCs w:val="32"/>
        </w:rPr>
      </w:pPr>
      <w:bookmarkStart w:id="3" w:name="_Toc110968006"/>
      <w:r>
        <w:rPr>
          <w:rFonts w:ascii="仿宋" w:eastAsia="仿宋" w:hAnsi="仿宋" w:cs="Times New Roman"/>
          <w:b/>
          <w:bCs/>
          <w:sz w:val="32"/>
          <w:szCs w:val="32"/>
        </w:rPr>
        <w:t>期权的持仓限额</w:t>
      </w:r>
      <w:r>
        <w:rPr>
          <w:rFonts w:ascii="仿宋" w:eastAsia="仿宋" w:hAnsi="仿宋" w:cs="Times New Roman" w:hint="eastAsia"/>
          <w:b/>
          <w:bCs/>
          <w:sz w:val="32"/>
          <w:szCs w:val="32"/>
        </w:rPr>
        <w:t>是怎么样的</w:t>
      </w:r>
      <w:r>
        <w:rPr>
          <w:rFonts w:ascii="仿宋" w:eastAsia="仿宋" w:hAnsi="仿宋" w:cs="Times New Roman"/>
          <w:b/>
          <w:bCs/>
          <w:sz w:val="32"/>
          <w:szCs w:val="32"/>
        </w:rPr>
        <w:t>？</w:t>
      </w:r>
      <w:bookmarkEnd w:id="3"/>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期权经营机构根据客户期权交易、额度使用以及风险承受能力情况，审慎确定、调整客户衍生品合约账户单个合约品种持仓限额。</w:t>
      </w:r>
      <w:r>
        <w:rPr>
          <w:rFonts w:ascii="仿宋" w:eastAsia="仿宋" w:hAnsi="仿宋" w:cs="Times New Roman"/>
          <w:b/>
          <w:sz w:val="32"/>
          <w:szCs w:val="32"/>
        </w:rPr>
        <w:t>新开</w:t>
      </w:r>
      <w:r w:rsidR="009672BC">
        <w:rPr>
          <w:rFonts w:ascii="仿宋" w:eastAsia="仿宋" w:hAnsi="仿宋" w:cs="Times New Roman" w:hint="eastAsia"/>
          <w:b/>
          <w:sz w:val="32"/>
          <w:szCs w:val="32"/>
        </w:rPr>
        <w:t>立</w:t>
      </w:r>
      <w:r>
        <w:rPr>
          <w:rFonts w:ascii="仿宋" w:eastAsia="仿宋" w:hAnsi="仿宋" w:cs="Times New Roman"/>
          <w:b/>
          <w:sz w:val="32"/>
          <w:szCs w:val="32"/>
        </w:rPr>
        <w:t>合约账户最大持仓限额：</w:t>
      </w:r>
      <w:r>
        <w:rPr>
          <w:rFonts w:ascii="仿宋" w:eastAsia="仿宋" w:hAnsi="仿宋" w:cs="Times New Roman"/>
          <w:sz w:val="32"/>
          <w:szCs w:val="32"/>
        </w:rPr>
        <w:t>权利仓持仓限额为100张、总持仓限额为200张、单日买入开仓限额为400张。</w:t>
      </w:r>
      <w:r>
        <w:rPr>
          <w:rFonts w:ascii="仿宋" w:eastAsia="仿宋" w:hAnsi="仿宋" w:cs="Times New Roman"/>
          <w:b/>
          <w:sz w:val="32"/>
          <w:szCs w:val="32"/>
        </w:rPr>
        <w:t>投资者单个合约品种最大持仓限额：</w:t>
      </w:r>
      <w:r>
        <w:rPr>
          <w:rFonts w:ascii="仿宋" w:eastAsia="仿宋" w:hAnsi="仿宋" w:cs="Times New Roman"/>
          <w:sz w:val="32"/>
          <w:szCs w:val="32"/>
        </w:rPr>
        <w:t>权利仓持仓限额为5</w:t>
      </w:r>
      <w:r>
        <w:rPr>
          <w:rFonts w:ascii="仿宋" w:eastAsia="仿宋" w:hAnsi="仿宋" w:cs="Times New Roman" w:hint="eastAsia"/>
          <w:sz w:val="32"/>
          <w:szCs w:val="32"/>
        </w:rPr>
        <w:t>,</w:t>
      </w:r>
      <w:r>
        <w:rPr>
          <w:rFonts w:ascii="仿宋" w:eastAsia="仿宋" w:hAnsi="仿宋" w:cs="Times New Roman"/>
          <w:sz w:val="32"/>
          <w:szCs w:val="32"/>
        </w:rPr>
        <w:t>000张、总持仓限额为10</w:t>
      </w:r>
      <w:r>
        <w:rPr>
          <w:rFonts w:ascii="仿宋" w:eastAsia="仿宋" w:hAnsi="仿宋" w:cs="Times New Roman" w:hint="eastAsia"/>
          <w:sz w:val="32"/>
          <w:szCs w:val="32"/>
        </w:rPr>
        <w:t>,</w:t>
      </w:r>
      <w:r>
        <w:rPr>
          <w:rFonts w:ascii="仿宋" w:eastAsia="仿宋" w:hAnsi="仿宋" w:cs="Times New Roman"/>
          <w:sz w:val="32"/>
          <w:szCs w:val="32"/>
        </w:rPr>
        <w:t>000张、单日买入开仓限额为10</w:t>
      </w:r>
      <w:r>
        <w:rPr>
          <w:rFonts w:ascii="仿宋" w:eastAsia="仿宋" w:hAnsi="仿宋" w:cs="Times New Roman" w:hint="eastAsia"/>
          <w:sz w:val="32"/>
          <w:szCs w:val="32"/>
        </w:rPr>
        <w:t>,</w:t>
      </w:r>
      <w:r>
        <w:rPr>
          <w:rFonts w:ascii="仿宋" w:eastAsia="仿宋" w:hAnsi="仿宋" w:cs="Times New Roman"/>
          <w:sz w:val="32"/>
          <w:szCs w:val="32"/>
        </w:rPr>
        <w:t>000张。</w:t>
      </w:r>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个人投资者买入金额不得超过其自有资产余额10%与证券账户过去6个月日均持有证券市值20%较高者。风险承受能力较强且满足一定条件的个人投资者，期权经营机构可以调整买入金额限额</w:t>
      </w:r>
      <w:r>
        <w:rPr>
          <w:rFonts w:ascii="仿宋" w:eastAsia="仿宋" w:hAnsi="仿宋" w:cs="Times New Roman" w:hint="eastAsia"/>
          <w:sz w:val="32"/>
          <w:szCs w:val="32"/>
        </w:rPr>
        <w:t>：</w:t>
      </w:r>
      <w:r>
        <w:rPr>
          <w:rFonts w:ascii="仿宋" w:eastAsia="仿宋" w:hAnsi="仿宋" w:cs="Times New Roman"/>
          <w:sz w:val="32"/>
          <w:szCs w:val="32"/>
        </w:rPr>
        <w:t>对于具备三级交易权限的客户，其买入金额限额最高为该客户自有资金余额的20%</w:t>
      </w:r>
      <w:r>
        <w:rPr>
          <w:rFonts w:ascii="仿宋" w:eastAsia="仿宋" w:hAnsi="仿宋" w:cs="Times New Roman" w:hint="eastAsia"/>
          <w:sz w:val="32"/>
          <w:szCs w:val="32"/>
        </w:rPr>
        <w:t>；</w:t>
      </w:r>
      <w:r>
        <w:rPr>
          <w:rFonts w:ascii="仿宋" w:eastAsia="仿宋" w:hAnsi="仿宋" w:cs="Times New Roman"/>
          <w:sz w:val="32"/>
          <w:szCs w:val="32"/>
        </w:rPr>
        <w:t>对于权利仓持仓限额已达到2</w:t>
      </w:r>
      <w:r>
        <w:rPr>
          <w:rFonts w:ascii="仿宋" w:eastAsia="仿宋" w:hAnsi="仿宋" w:cs="Times New Roman" w:hint="eastAsia"/>
          <w:sz w:val="32"/>
          <w:szCs w:val="32"/>
        </w:rPr>
        <w:t>,</w:t>
      </w:r>
      <w:r>
        <w:rPr>
          <w:rFonts w:ascii="仿宋" w:eastAsia="仿宋" w:hAnsi="仿宋" w:cs="Times New Roman"/>
          <w:sz w:val="32"/>
          <w:szCs w:val="32"/>
        </w:rPr>
        <w:t>000张的客户，其买入金额限额最高为该客户自有资产余额的30%。</w:t>
      </w:r>
    </w:p>
    <w:p w:rsidR="00DA455C" w:rsidRDefault="00DA455C">
      <w:pPr>
        <w:spacing w:line="560" w:lineRule="exact"/>
        <w:ind w:firstLineChars="200" w:firstLine="640"/>
        <w:rPr>
          <w:rFonts w:ascii="仿宋" w:eastAsia="仿宋" w:hAnsi="仿宋" w:cs="Times New Roman"/>
          <w:sz w:val="32"/>
          <w:szCs w:val="32"/>
        </w:rPr>
      </w:pPr>
    </w:p>
    <w:p w:rsidR="00DA455C" w:rsidRDefault="00907E91">
      <w:pPr>
        <w:keepNext/>
        <w:keepLines/>
        <w:numPr>
          <w:ilvl w:val="0"/>
          <w:numId w:val="1"/>
        </w:numPr>
        <w:spacing w:line="560" w:lineRule="exact"/>
        <w:ind w:left="0" w:firstLineChars="200" w:firstLine="643"/>
        <w:outlineLvl w:val="2"/>
        <w:rPr>
          <w:rFonts w:ascii="仿宋" w:eastAsia="仿宋" w:hAnsi="仿宋" w:cs="Times New Roman"/>
          <w:b/>
          <w:bCs/>
          <w:sz w:val="32"/>
          <w:szCs w:val="32"/>
        </w:rPr>
      </w:pPr>
      <w:bookmarkStart w:id="4" w:name="_Toc110968007"/>
      <w:r>
        <w:rPr>
          <w:rFonts w:ascii="仿宋" w:eastAsia="仿宋" w:hAnsi="仿宋" w:cs="Times New Roman" w:hint="eastAsia"/>
          <w:b/>
          <w:bCs/>
          <w:sz w:val="32"/>
          <w:szCs w:val="32"/>
        </w:rPr>
        <w:t>期权的交易保证金如何计算？</w:t>
      </w:r>
      <w:bookmarkEnd w:id="4"/>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期权交易保证金分为</w:t>
      </w:r>
      <w:r>
        <w:rPr>
          <w:rFonts w:ascii="仿宋" w:eastAsia="仿宋" w:hAnsi="仿宋" w:cs="Times New Roman"/>
          <w:b/>
          <w:sz w:val="32"/>
          <w:szCs w:val="32"/>
        </w:rPr>
        <w:t>开仓保证金</w:t>
      </w:r>
      <w:r>
        <w:rPr>
          <w:rFonts w:ascii="仿宋" w:eastAsia="仿宋" w:hAnsi="仿宋" w:cs="Times New Roman"/>
          <w:sz w:val="32"/>
          <w:szCs w:val="32"/>
        </w:rPr>
        <w:t>和</w:t>
      </w:r>
      <w:r>
        <w:rPr>
          <w:rFonts w:ascii="仿宋" w:eastAsia="仿宋" w:hAnsi="仿宋" w:cs="Times New Roman"/>
          <w:b/>
          <w:sz w:val="32"/>
          <w:szCs w:val="32"/>
        </w:rPr>
        <w:t>维持保证金</w:t>
      </w:r>
      <w:r>
        <w:rPr>
          <w:rFonts w:ascii="仿宋" w:eastAsia="仿宋" w:hAnsi="仿宋" w:cs="Times New Roman"/>
          <w:sz w:val="32"/>
          <w:szCs w:val="32"/>
        </w:rPr>
        <w:t>。采用非线性保证金的方式收取，实值义务仓保证金高于</w:t>
      </w:r>
      <w:proofErr w:type="gramStart"/>
      <w:r>
        <w:rPr>
          <w:rFonts w:ascii="仿宋" w:eastAsia="仿宋" w:hAnsi="仿宋" w:cs="Times New Roman"/>
          <w:sz w:val="32"/>
          <w:szCs w:val="32"/>
        </w:rPr>
        <w:t>虚值义务仓</w:t>
      </w:r>
      <w:proofErr w:type="gramEnd"/>
      <w:r>
        <w:rPr>
          <w:rFonts w:ascii="仿宋" w:eastAsia="仿宋" w:hAnsi="仿宋" w:cs="Times New Roman"/>
          <w:sz w:val="32"/>
          <w:szCs w:val="32"/>
        </w:rPr>
        <w:t>保证金。期权经营机构向客户收取的保证金，</w:t>
      </w:r>
      <w:r>
        <w:rPr>
          <w:rFonts w:ascii="仿宋" w:eastAsia="仿宋" w:hAnsi="仿宋" w:cs="Times New Roman" w:hint="eastAsia"/>
          <w:sz w:val="32"/>
          <w:szCs w:val="32"/>
        </w:rPr>
        <w:t>一般</w:t>
      </w:r>
      <w:r>
        <w:rPr>
          <w:rFonts w:ascii="仿宋" w:eastAsia="仿宋" w:hAnsi="仿宋" w:cs="Times New Roman"/>
          <w:sz w:val="32"/>
          <w:szCs w:val="32"/>
        </w:rPr>
        <w:t>会在交易所最低保证金基础上上浮一定比例。</w:t>
      </w:r>
    </w:p>
    <w:p w:rsidR="00DA455C" w:rsidRDefault="00DA455C">
      <w:pPr>
        <w:spacing w:line="560" w:lineRule="exact"/>
        <w:ind w:firstLineChars="200" w:firstLine="640"/>
        <w:rPr>
          <w:rFonts w:ascii="仿宋" w:eastAsia="仿宋" w:hAnsi="仿宋" w:cs="Times New Roman"/>
          <w:sz w:val="32"/>
          <w:szCs w:val="32"/>
        </w:rPr>
      </w:pPr>
    </w:p>
    <w:p w:rsidR="00DA455C" w:rsidRDefault="00907E91">
      <w:pPr>
        <w:keepNext/>
        <w:keepLines/>
        <w:numPr>
          <w:ilvl w:val="0"/>
          <w:numId w:val="1"/>
        </w:numPr>
        <w:spacing w:line="560" w:lineRule="exact"/>
        <w:ind w:left="0" w:firstLineChars="200" w:firstLine="643"/>
        <w:outlineLvl w:val="2"/>
        <w:rPr>
          <w:rFonts w:ascii="仿宋" w:eastAsia="仿宋" w:hAnsi="仿宋" w:cs="Times New Roman"/>
          <w:b/>
          <w:bCs/>
          <w:sz w:val="32"/>
          <w:szCs w:val="32"/>
        </w:rPr>
      </w:pPr>
      <w:bookmarkStart w:id="5" w:name="_Toc110968008"/>
      <w:r>
        <w:rPr>
          <w:rFonts w:ascii="仿宋" w:eastAsia="仿宋" w:hAnsi="仿宋" w:cs="Times New Roman"/>
          <w:b/>
          <w:bCs/>
          <w:sz w:val="32"/>
          <w:szCs w:val="32"/>
        </w:rPr>
        <w:t>期权合约单位</w:t>
      </w:r>
      <w:r>
        <w:rPr>
          <w:rFonts w:ascii="仿宋" w:eastAsia="仿宋" w:hAnsi="仿宋" w:cs="Times New Roman" w:hint="eastAsia"/>
          <w:b/>
          <w:bCs/>
          <w:sz w:val="32"/>
          <w:szCs w:val="32"/>
        </w:rPr>
        <w:t>是多少？</w:t>
      </w:r>
      <w:bookmarkEnd w:id="5"/>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一般情况下，深交所</w:t>
      </w:r>
      <w:r>
        <w:rPr>
          <w:rFonts w:ascii="仿宋" w:eastAsia="仿宋" w:hAnsi="仿宋" w:cs="Times New Roman"/>
          <w:sz w:val="32"/>
          <w:szCs w:val="32"/>
        </w:rPr>
        <w:t>ETF</w:t>
      </w:r>
      <w:r>
        <w:rPr>
          <w:rFonts w:ascii="仿宋" w:eastAsia="仿宋" w:hAnsi="仿宋" w:cs="Times New Roman" w:hint="eastAsia"/>
          <w:sz w:val="32"/>
          <w:szCs w:val="32"/>
        </w:rPr>
        <w:t>期权的合约单位为</w:t>
      </w:r>
      <w:r>
        <w:rPr>
          <w:rFonts w:ascii="仿宋" w:eastAsia="仿宋" w:hAnsi="仿宋" w:cs="Times New Roman" w:hint="eastAsia"/>
          <w:b/>
          <w:sz w:val="32"/>
          <w:szCs w:val="32"/>
        </w:rPr>
        <w:t>10,000份</w:t>
      </w:r>
      <w:r>
        <w:rPr>
          <w:rFonts w:ascii="仿宋" w:eastAsia="仿宋" w:hAnsi="仿宋" w:cs="Times New Roman" w:hint="eastAsia"/>
          <w:sz w:val="32"/>
          <w:szCs w:val="32"/>
        </w:rPr>
        <w:t>，但当合约标的发生除权、除息时，为使期权合约的实</w:t>
      </w:r>
      <w:proofErr w:type="gramStart"/>
      <w:r>
        <w:rPr>
          <w:rFonts w:ascii="仿宋" w:eastAsia="仿宋" w:hAnsi="仿宋" w:cs="Times New Roman" w:hint="eastAsia"/>
          <w:sz w:val="32"/>
          <w:szCs w:val="32"/>
        </w:rPr>
        <w:t>虚值程度</w:t>
      </w:r>
      <w:proofErr w:type="gramEnd"/>
      <w:r>
        <w:rPr>
          <w:rFonts w:ascii="仿宋" w:eastAsia="仿宋" w:hAnsi="仿宋" w:cs="Times New Roman" w:hint="eastAsia"/>
          <w:sz w:val="32"/>
          <w:szCs w:val="32"/>
        </w:rPr>
        <w:t>及整体价值保持不变，深交所会对期权合约单位进行调整，届时投资者可以及时关注相关公告。</w:t>
      </w:r>
    </w:p>
    <w:p w:rsidR="00DA455C" w:rsidRDefault="00DA455C">
      <w:pPr>
        <w:spacing w:line="560" w:lineRule="exact"/>
        <w:ind w:firstLineChars="200" w:firstLine="640"/>
        <w:rPr>
          <w:rFonts w:ascii="仿宋" w:eastAsia="仿宋" w:hAnsi="仿宋" w:cs="Times New Roman"/>
          <w:sz w:val="32"/>
          <w:szCs w:val="32"/>
        </w:rPr>
      </w:pPr>
    </w:p>
    <w:p w:rsidR="00DA455C" w:rsidRDefault="00907E91">
      <w:pPr>
        <w:keepNext/>
        <w:keepLines/>
        <w:numPr>
          <w:ilvl w:val="0"/>
          <w:numId w:val="1"/>
        </w:numPr>
        <w:spacing w:line="560" w:lineRule="exact"/>
        <w:ind w:left="0" w:firstLineChars="200" w:firstLine="643"/>
        <w:outlineLvl w:val="2"/>
        <w:rPr>
          <w:rFonts w:ascii="仿宋" w:eastAsia="仿宋" w:hAnsi="仿宋" w:cs="Times New Roman"/>
          <w:b/>
          <w:bCs/>
          <w:sz w:val="32"/>
          <w:szCs w:val="32"/>
        </w:rPr>
      </w:pPr>
      <w:bookmarkStart w:id="6" w:name="_Toc82449708"/>
      <w:bookmarkStart w:id="7" w:name="_Toc110968009"/>
      <w:bookmarkEnd w:id="6"/>
      <w:r>
        <w:rPr>
          <w:rFonts w:ascii="仿宋" w:eastAsia="仿宋" w:hAnsi="仿宋" w:cs="Times New Roman"/>
          <w:b/>
          <w:bCs/>
          <w:sz w:val="32"/>
          <w:szCs w:val="32"/>
        </w:rPr>
        <w:t>期权合约的结算价格有</w:t>
      </w:r>
      <w:r>
        <w:rPr>
          <w:rFonts w:ascii="仿宋" w:eastAsia="仿宋" w:hAnsi="仿宋" w:cs="Times New Roman" w:hint="eastAsia"/>
          <w:b/>
          <w:bCs/>
          <w:sz w:val="32"/>
          <w:szCs w:val="32"/>
        </w:rPr>
        <w:t>什么</w:t>
      </w:r>
      <w:r>
        <w:rPr>
          <w:rFonts w:ascii="仿宋" w:eastAsia="仿宋" w:hAnsi="仿宋" w:cs="Times New Roman"/>
          <w:b/>
          <w:bCs/>
          <w:sz w:val="32"/>
          <w:szCs w:val="32"/>
        </w:rPr>
        <w:t>用</w:t>
      </w:r>
      <w:r>
        <w:rPr>
          <w:rFonts w:ascii="仿宋" w:eastAsia="仿宋" w:hAnsi="仿宋" w:cs="Times New Roman" w:hint="eastAsia"/>
          <w:b/>
          <w:bCs/>
          <w:sz w:val="32"/>
          <w:szCs w:val="32"/>
        </w:rPr>
        <w:t>？</w:t>
      </w:r>
      <w:r>
        <w:rPr>
          <w:rFonts w:ascii="仿宋" w:eastAsia="仿宋" w:hAnsi="仿宋" w:cs="Times New Roman"/>
          <w:b/>
          <w:bCs/>
          <w:sz w:val="32"/>
          <w:szCs w:val="32"/>
        </w:rPr>
        <w:t>如何确定？</w:t>
      </w:r>
      <w:bookmarkEnd w:id="7"/>
    </w:p>
    <w:p w:rsidR="00DA455C" w:rsidRDefault="00907E91">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期权合约的结算价格是保证金、涨跌停价格等数据的计算基准，由深交所在每个交易日收盘后向市场公布。</w:t>
      </w:r>
    </w:p>
    <w:p w:rsidR="00DA455C" w:rsidRDefault="00907E91">
      <w:pPr>
        <w:spacing w:line="560" w:lineRule="exact"/>
        <w:ind w:firstLineChars="200" w:firstLine="643"/>
        <w:rPr>
          <w:rFonts w:ascii="仿宋" w:eastAsia="仿宋" w:hAnsi="仿宋" w:cs="Times New Roman"/>
          <w:sz w:val="32"/>
          <w:szCs w:val="32"/>
        </w:rPr>
      </w:pPr>
      <w:r>
        <w:rPr>
          <w:rFonts w:ascii="仿宋" w:eastAsia="仿宋" w:hAnsi="仿宋" w:cs="Times New Roman" w:hint="eastAsia"/>
          <w:b/>
          <w:sz w:val="32"/>
          <w:szCs w:val="32"/>
        </w:rPr>
        <w:t>在最后交易日</w:t>
      </w:r>
      <w:r>
        <w:rPr>
          <w:rFonts w:ascii="仿宋" w:eastAsia="仿宋" w:hAnsi="仿宋" w:cs="Times New Roman" w:hint="eastAsia"/>
          <w:sz w:val="32"/>
          <w:szCs w:val="32"/>
        </w:rPr>
        <w:t>，期权合约为实值合约的，深交所</w:t>
      </w:r>
      <w:r>
        <w:rPr>
          <w:rFonts w:ascii="仿宋" w:eastAsia="仿宋" w:hAnsi="仿宋" w:cs="Times New Roman"/>
          <w:sz w:val="32"/>
          <w:szCs w:val="32"/>
        </w:rPr>
        <w:t>根据合约标的</w:t>
      </w:r>
      <w:proofErr w:type="gramStart"/>
      <w:r>
        <w:rPr>
          <w:rFonts w:ascii="仿宋" w:eastAsia="仿宋" w:hAnsi="仿宋" w:cs="Times New Roman"/>
          <w:sz w:val="32"/>
          <w:szCs w:val="32"/>
        </w:rPr>
        <w:t>的</w:t>
      </w:r>
      <w:proofErr w:type="gramEnd"/>
      <w:r>
        <w:rPr>
          <w:rFonts w:ascii="仿宋" w:eastAsia="仿宋" w:hAnsi="仿宋" w:cs="Times New Roman"/>
          <w:sz w:val="32"/>
          <w:szCs w:val="32"/>
        </w:rPr>
        <w:t>当日收盘价格和该合约行权价格，确定该合约的结算价格</w:t>
      </w:r>
      <w:r>
        <w:rPr>
          <w:rFonts w:ascii="仿宋" w:eastAsia="仿宋" w:hAnsi="仿宋" w:cs="Times New Roman" w:hint="eastAsia"/>
          <w:sz w:val="32"/>
          <w:szCs w:val="32"/>
        </w:rPr>
        <w:t>；</w:t>
      </w:r>
      <w:r>
        <w:rPr>
          <w:rFonts w:ascii="仿宋" w:eastAsia="仿宋" w:hAnsi="仿宋" w:cs="Times New Roman"/>
          <w:sz w:val="32"/>
          <w:szCs w:val="32"/>
        </w:rPr>
        <w:t>期权合约</w:t>
      </w:r>
      <w:proofErr w:type="gramStart"/>
      <w:r>
        <w:rPr>
          <w:rFonts w:ascii="仿宋" w:eastAsia="仿宋" w:hAnsi="仿宋" w:cs="Times New Roman"/>
          <w:sz w:val="32"/>
          <w:szCs w:val="32"/>
        </w:rPr>
        <w:t>为虚值或</w:t>
      </w:r>
      <w:proofErr w:type="gramEnd"/>
      <w:r>
        <w:rPr>
          <w:rFonts w:ascii="仿宋" w:eastAsia="仿宋" w:hAnsi="仿宋" w:cs="Times New Roman"/>
          <w:sz w:val="32"/>
          <w:szCs w:val="32"/>
        </w:rPr>
        <w:t>平值合约的，结算价格为0。</w:t>
      </w:r>
    </w:p>
    <w:p w:rsidR="00DA455C" w:rsidRDefault="00907E91">
      <w:pPr>
        <w:spacing w:line="560" w:lineRule="exact"/>
        <w:ind w:firstLineChars="200" w:firstLine="643"/>
        <w:rPr>
          <w:rFonts w:ascii="仿宋" w:eastAsia="仿宋" w:hAnsi="仿宋" w:cs="Times New Roman"/>
          <w:sz w:val="32"/>
          <w:szCs w:val="32"/>
        </w:rPr>
      </w:pPr>
      <w:r>
        <w:rPr>
          <w:rFonts w:ascii="仿宋" w:eastAsia="仿宋" w:hAnsi="仿宋" w:cs="Times New Roman"/>
          <w:b/>
          <w:sz w:val="32"/>
          <w:szCs w:val="32"/>
        </w:rPr>
        <w:t>在非最后交易日</w:t>
      </w:r>
      <w:r>
        <w:rPr>
          <w:rFonts w:ascii="仿宋" w:eastAsia="仿宋" w:hAnsi="仿宋" w:cs="Times New Roman"/>
          <w:sz w:val="32"/>
          <w:szCs w:val="32"/>
        </w:rPr>
        <w:t>，期权合约的结算价格为该合约当日收盘集合竞价的成交价格。</w:t>
      </w:r>
      <w:r>
        <w:rPr>
          <w:rFonts w:ascii="仿宋" w:eastAsia="仿宋" w:hAnsi="仿宋" w:cs="Times New Roman" w:hint="eastAsia"/>
          <w:sz w:val="32"/>
          <w:szCs w:val="32"/>
        </w:rPr>
        <w:t>如当日收盘集合竞价未形成成交价格，</w:t>
      </w:r>
      <w:r>
        <w:rPr>
          <w:rFonts w:ascii="仿宋" w:eastAsia="仿宋" w:hAnsi="仿宋" w:cs="Times New Roman"/>
          <w:sz w:val="32"/>
          <w:szCs w:val="32"/>
        </w:rPr>
        <w:t>深交</w:t>
      </w:r>
      <w:r>
        <w:rPr>
          <w:rFonts w:ascii="仿宋" w:eastAsia="仿宋" w:hAnsi="仿宋" w:cs="Times New Roman" w:hint="eastAsia"/>
          <w:sz w:val="32"/>
          <w:szCs w:val="32"/>
        </w:rPr>
        <w:t>所将按照股票</w:t>
      </w:r>
      <w:proofErr w:type="gramStart"/>
      <w:r>
        <w:rPr>
          <w:rFonts w:ascii="仿宋" w:eastAsia="仿宋" w:hAnsi="仿宋" w:cs="Times New Roman" w:hint="eastAsia"/>
          <w:sz w:val="32"/>
          <w:szCs w:val="32"/>
        </w:rPr>
        <w:t>期权试点</w:t>
      </w:r>
      <w:proofErr w:type="gramEnd"/>
      <w:r>
        <w:rPr>
          <w:rFonts w:ascii="仿宋" w:eastAsia="仿宋" w:hAnsi="仿宋" w:cs="Times New Roman" w:hint="eastAsia"/>
          <w:sz w:val="32"/>
          <w:szCs w:val="32"/>
        </w:rPr>
        <w:t>交易规则规定的原则确定。</w:t>
      </w:r>
      <w:r>
        <w:rPr>
          <w:rFonts w:ascii="仿宋" w:eastAsia="仿宋" w:hAnsi="仿宋" w:cs="Times New Roman"/>
          <w:sz w:val="32"/>
          <w:szCs w:val="32"/>
        </w:rPr>
        <w:t>深交所和中国结算可以根据市场情况，对结算价格的确定方法进行调整。</w:t>
      </w:r>
    </w:p>
    <w:p w:rsidR="00DA455C" w:rsidRDefault="00DA455C">
      <w:pPr>
        <w:spacing w:line="560" w:lineRule="exact"/>
        <w:rPr>
          <w:rFonts w:ascii="仿宋" w:eastAsia="仿宋" w:hAnsi="仿宋" w:cs="Times New Roman"/>
          <w:b/>
          <w:sz w:val="32"/>
          <w:szCs w:val="32"/>
        </w:rPr>
      </w:pPr>
    </w:p>
    <w:p w:rsidR="00DA455C" w:rsidRDefault="00DA455C">
      <w:pPr>
        <w:spacing w:line="560" w:lineRule="exact"/>
        <w:rPr>
          <w:rFonts w:ascii="仿宋" w:eastAsia="仿宋" w:hAnsi="仿宋"/>
          <w:sz w:val="32"/>
        </w:rPr>
      </w:pPr>
    </w:p>
    <w:p w:rsidR="00DA455C" w:rsidRDefault="00907E91">
      <w:pPr>
        <w:spacing w:line="560" w:lineRule="exact"/>
        <w:rPr>
          <w:rFonts w:ascii="仿宋" w:eastAsia="仿宋" w:hAnsi="仿宋"/>
          <w:sz w:val="32"/>
        </w:rPr>
      </w:pPr>
      <w:r>
        <w:rPr>
          <w:rFonts w:ascii="仿宋" w:eastAsia="仿宋" w:hAnsi="仿宋" w:hint="eastAsia"/>
          <w:sz w:val="32"/>
        </w:rPr>
        <w:t>（“期权入市手册”系列文章支持单位：广发证券、国泰君安证券、华泰证券、嘉实基金、易方达基金、招商证券、中</w:t>
      </w:r>
      <w:proofErr w:type="gramStart"/>
      <w:r>
        <w:rPr>
          <w:rFonts w:ascii="仿宋" w:eastAsia="仿宋" w:hAnsi="仿宋" w:hint="eastAsia"/>
          <w:sz w:val="32"/>
        </w:rPr>
        <w:t>信建投证券</w:t>
      </w:r>
      <w:proofErr w:type="gramEnd"/>
      <w:r>
        <w:rPr>
          <w:rFonts w:ascii="仿宋" w:eastAsia="仿宋" w:hAnsi="仿宋" w:hint="eastAsia"/>
          <w:sz w:val="32"/>
        </w:rPr>
        <w:t>（按音序排列，排名不分先后））</w:t>
      </w:r>
    </w:p>
    <w:p w:rsidR="00DA455C" w:rsidRDefault="00DA455C">
      <w:pPr>
        <w:spacing w:line="560" w:lineRule="exact"/>
        <w:rPr>
          <w:rFonts w:ascii="仿宋" w:eastAsia="仿宋" w:hAnsi="仿宋"/>
          <w:sz w:val="32"/>
        </w:rPr>
      </w:pPr>
    </w:p>
    <w:p w:rsidR="00DA455C" w:rsidRDefault="00907E91">
      <w:pPr>
        <w:spacing w:line="560" w:lineRule="exact"/>
        <w:rPr>
          <w:rFonts w:ascii="仿宋" w:eastAsia="仿宋" w:hAnsi="仿宋"/>
          <w:sz w:val="32"/>
        </w:rPr>
      </w:pPr>
      <w:r>
        <w:rPr>
          <w:rFonts w:ascii="仿宋" w:eastAsia="仿宋" w:hAnsi="仿宋" w:hint="eastAsia"/>
          <w:sz w:val="32"/>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r>
        <w:rPr>
          <w:rFonts w:ascii="仿宋" w:eastAsia="仿宋" w:hAnsi="仿宋" w:hint="eastAsia"/>
          <w:b/>
          <w:noProof/>
          <w:sz w:val="180"/>
          <w:szCs w:val="36"/>
        </w:rPr>
        <mc:AlternateContent>
          <mc:Choice Requires="wps">
            <w:drawing>
              <wp:anchor distT="0" distB="0" distL="114300" distR="114300" simplePos="0" relativeHeight="251659264" behindDoc="0" locked="1" layoutInCell="0" allowOverlap="1">
                <wp:simplePos x="0" y="0"/>
                <wp:positionH relativeFrom="margin">
                  <wp:align>right</wp:align>
                </wp:positionH>
                <wp:positionV relativeFrom="topMargin">
                  <wp:align>bottom</wp:align>
                </wp:positionV>
                <wp:extent cx="1410970" cy="244475"/>
                <wp:effectExtent l="0" t="0" r="1778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44475"/>
                        </a:xfrm>
                        <a:prstGeom prst="rect">
                          <a:avLst/>
                        </a:prstGeom>
                        <a:solidFill>
                          <a:srgbClr val="FFFFFF">
                            <a:alpha val="75000"/>
                          </a:srgbClr>
                        </a:solidFill>
                        <a:ln w="19050">
                          <a:solidFill>
                            <a:srgbClr val="FF0000"/>
                          </a:solidFill>
                          <a:miter lim="800000"/>
                        </a:ln>
                      </wps:spPr>
                      <wps:txbx>
                        <w:txbxContent>
                          <w:p w:rsidR="00DA455C" w:rsidRDefault="00907E91">
                            <w:pPr>
                              <w:spacing w:line="240" w:lineRule="exact"/>
                              <w:jc w:val="center"/>
                              <w:rPr>
                                <w:rFonts w:ascii="宋体" w:hAnsi="宋体"/>
                                <w:b/>
                                <w:color w:val="FF0000"/>
                                <w:szCs w:val="21"/>
                              </w:rPr>
                            </w:pPr>
                            <w:r>
                              <w:rPr>
                                <w:rFonts w:ascii="宋体" w:hAnsi="宋体" w:hint="eastAsia"/>
                                <w:b/>
                                <w:color w:val="FF0000"/>
                                <w:szCs w:val="21"/>
                              </w:rPr>
                              <w:t>内部使用</w:t>
                            </w:r>
                          </w:p>
                        </w:txbxContent>
                      </wps:txbx>
                      <wps:bodyPr rot="0" vert="horz" wrap="square" lIns="36000" tIns="36000" rIns="36000" bIns="3600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9pt;margin-top:0;width:111.1pt;height:19.25pt;z-index:251659264;visibility:visible;mso-wrap-style:square;mso-wrap-distance-left:9pt;mso-wrap-distance-top:0;mso-wrap-distance-right:9pt;mso-wrap-distance-bottom:0;mso-position-horizontal:righ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" o:allowincell="f" strokecolor="red" strokeweight="1.5pt">
                <v:fill opacity="49087f"/>
                <v:textbox style="mso-fit-shape-to-text:t" inset="1mm,1mm,1mm,1mm">
                  <w:txbxContent>
                    <w:p w:rsidR="00DA455C" w:rsidRDefault="00907E91">
                      <w:pPr>
                        <w:spacing w:line="240" w:lineRule="exact"/>
                        <w:jc w:val="center"/>
                        <w:rPr>
                          <w:rFonts w:ascii="宋体" w:hAnsi="宋体"/>
                          <w:b/>
                          <w:color w:val="FF0000"/>
                          <w:szCs w:val="21"/>
                        </w:rPr>
                      </w:pPr>
                      <w:r>
                        <w:rPr>
                          <w:rFonts w:ascii="宋体" w:hAnsi="宋体" w:hint="eastAsia"/>
                          <w:b/>
                          <w:color w:val="FF0000"/>
                          <w:szCs w:val="21"/>
                        </w:rPr>
                        <w:t>内部使用</w:t>
                      </w:r>
                    </w:p>
                  </w:txbxContent>
                </v:textbox>
                <w10:wrap anchorx="margin" anchory="margin"/>
                <w10:anchorlock/>
              </v:shape>
            </w:pict>
          </mc:Fallback>
        </mc:AlternateContent>
      </w:r>
    </w:p>
    <w:sectPr w:rsidR="00DA455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E70525" w15:done="0"/>
  <w15:commentEx w15:paraId="05677D2E" w15:done="0"/>
  <w15:commentEx w15:paraId="3A22527E" w15:done="0"/>
  <w15:commentEx w15:paraId="0C2255EB" w15:done="0"/>
  <w15:commentEx w15:paraId="497C07B6" w15:done="0" w15:paraIdParent="0C2255EB"/>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96BBF"/>
    <w:multiLevelType w:val="multilevel"/>
    <w:tmpl w:val="7A096B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嘉琦">
    <w15:presenceInfo w15:providerId="None" w15:userId="张嘉琦"/>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7F"/>
    <w:rsid w:val="00024E42"/>
    <w:rsid w:val="00073B27"/>
    <w:rsid w:val="000E658A"/>
    <w:rsid w:val="0020392E"/>
    <w:rsid w:val="00254873"/>
    <w:rsid w:val="00273878"/>
    <w:rsid w:val="002B4453"/>
    <w:rsid w:val="0032412C"/>
    <w:rsid w:val="0037639B"/>
    <w:rsid w:val="003B3D62"/>
    <w:rsid w:val="003E1D15"/>
    <w:rsid w:val="004352D8"/>
    <w:rsid w:val="00485D85"/>
    <w:rsid w:val="004A65EE"/>
    <w:rsid w:val="0051709A"/>
    <w:rsid w:val="00575795"/>
    <w:rsid w:val="00590C44"/>
    <w:rsid w:val="005A5EA9"/>
    <w:rsid w:val="00603685"/>
    <w:rsid w:val="006D73C9"/>
    <w:rsid w:val="00764E15"/>
    <w:rsid w:val="007C2773"/>
    <w:rsid w:val="007F1C7C"/>
    <w:rsid w:val="00872572"/>
    <w:rsid w:val="00907E91"/>
    <w:rsid w:val="00924E1A"/>
    <w:rsid w:val="009672BC"/>
    <w:rsid w:val="00A12A83"/>
    <w:rsid w:val="00B44386"/>
    <w:rsid w:val="00B46E54"/>
    <w:rsid w:val="00B47BC0"/>
    <w:rsid w:val="00BF07A3"/>
    <w:rsid w:val="00BF607F"/>
    <w:rsid w:val="00C16D94"/>
    <w:rsid w:val="00CD5C62"/>
    <w:rsid w:val="00CF24AA"/>
    <w:rsid w:val="00D41A29"/>
    <w:rsid w:val="00D801F4"/>
    <w:rsid w:val="00DA455C"/>
    <w:rsid w:val="00E04C3C"/>
    <w:rsid w:val="00E3220D"/>
    <w:rsid w:val="00EF0751"/>
    <w:rsid w:val="00F26F8B"/>
    <w:rsid w:val="00FD2CDF"/>
    <w:rsid w:val="230A743E"/>
    <w:rsid w:val="30972736"/>
    <w:rsid w:val="48B82223"/>
    <w:rsid w:val="686C4009"/>
    <w:rsid w:val="6BB700EA"/>
    <w:rsid w:val="6F5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outlineLvl w:val="2"/>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rPr>
      <w:sz w:val="18"/>
      <w:szCs w:val="18"/>
    </w:rPr>
  </w:style>
  <w:style w:type="paragraph" w:styleId="a6">
    <w:name w:val="annotation subject"/>
    <w:basedOn w:val="a4"/>
    <w:next w:val="a4"/>
    <w:link w:val="Char1"/>
    <w:uiPriority w:val="99"/>
    <w:semiHidden/>
    <w:unhideWhenUsed/>
    <w:qFormat/>
    <w:rPr>
      <w:b/>
      <w:bCs/>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21"/>
      <w:szCs w:val="21"/>
    </w:rPr>
  </w:style>
  <w:style w:type="character" w:customStyle="1" w:styleId="Char0">
    <w:name w:val="批注框文本 Char"/>
    <w:basedOn w:val="a0"/>
    <w:link w:val="a5"/>
    <w:uiPriority w:val="99"/>
    <w:semiHidden/>
    <w:rPr>
      <w:kern w:val="2"/>
      <w:sz w:val="18"/>
      <w:szCs w:val="18"/>
    </w:rPr>
  </w:style>
  <w:style w:type="character" w:customStyle="1" w:styleId="3Char">
    <w:name w:val="标题 3 Char"/>
    <w:basedOn w:val="a0"/>
    <w:link w:val="3"/>
    <w:uiPriority w:val="9"/>
    <w:qFormat/>
    <w:rPr>
      <w:rFonts w:ascii="仿宋" w:eastAsia="仿宋" w:hAnsi="仿宋"/>
      <w:b/>
      <w:bCs/>
      <w:kern w:val="2"/>
      <w:sz w:val="32"/>
      <w:szCs w:val="32"/>
    </w:rPr>
  </w:style>
  <w:style w:type="table" w:customStyle="1" w:styleId="1">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4"/>
    <w:uiPriority w:val="99"/>
    <w:semiHidden/>
    <w:rPr>
      <w:kern w:val="2"/>
      <w:sz w:val="21"/>
      <w:szCs w:val="22"/>
    </w:rPr>
  </w:style>
  <w:style w:type="character" w:customStyle="1" w:styleId="Char1">
    <w:name w:val="批注主题 Char"/>
    <w:basedOn w:val="Char"/>
    <w:link w:val="a6"/>
    <w:uiPriority w:val="99"/>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560" w:lineRule="exact"/>
      <w:outlineLvl w:val="2"/>
    </w:pPr>
    <w:rPr>
      <w:rFonts w:ascii="仿宋" w:eastAsia="仿宋" w:hAnsi="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rPr>
      <w:sz w:val="18"/>
      <w:szCs w:val="18"/>
    </w:rPr>
  </w:style>
  <w:style w:type="paragraph" w:styleId="a6">
    <w:name w:val="annotation subject"/>
    <w:basedOn w:val="a4"/>
    <w:next w:val="a4"/>
    <w:link w:val="Char1"/>
    <w:uiPriority w:val="99"/>
    <w:semiHidden/>
    <w:unhideWhenUsed/>
    <w:qFormat/>
    <w:rPr>
      <w:b/>
      <w:bCs/>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21"/>
      <w:szCs w:val="21"/>
    </w:rPr>
  </w:style>
  <w:style w:type="character" w:customStyle="1" w:styleId="Char0">
    <w:name w:val="批注框文本 Char"/>
    <w:basedOn w:val="a0"/>
    <w:link w:val="a5"/>
    <w:uiPriority w:val="99"/>
    <w:semiHidden/>
    <w:rPr>
      <w:kern w:val="2"/>
      <w:sz w:val="18"/>
      <w:szCs w:val="18"/>
    </w:rPr>
  </w:style>
  <w:style w:type="character" w:customStyle="1" w:styleId="3Char">
    <w:name w:val="标题 3 Char"/>
    <w:basedOn w:val="a0"/>
    <w:link w:val="3"/>
    <w:uiPriority w:val="9"/>
    <w:qFormat/>
    <w:rPr>
      <w:rFonts w:ascii="仿宋" w:eastAsia="仿宋" w:hAnsi="仿宋"/>
      <w:b/>
      <w:bCs/>
      <w:kern w:val="2"/>
      <w:sz w:val="32"/>
      <w:szCs w:val="32"/>
    </w:rPr>
  </w:style>
  <w:style w:type="table" w:customStyle="1" w:styleId="1">
    <w:name w:val="网格型1"/>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4"/>
    <w:uiPriority w:val="99"/>
    <w:semiHidden/>
    <w:rPr>
      <w:kern w:val="2"/>
      <w:sz w:val="21"/>
      <w:szCs w:val="22"/>
    </w:rPr>
  </w:style>
  <w:style w:type="character" w:customStyle="1" w:styleId="Char1">
    <w:name w:val="批注主题 Char"/>
    <w:basedOn w:val="Char"/>
    <w:link w:val="a6"/>
    <w:uiPriority w:val="99"/>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microsoft.com/office/2007/relationships/stylesWithEffects" Target="stylesWithEffect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B694EE-AF4C-402D-B7C5-EDB49BC4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陈洁</dc:creator>
  <cp:lastModifiedBy>陈洁</cp:lastModifiedBy>
  <cp:revision>4</cp:revision>
  <dcterms:created xsi:type="dcterms:W3CDTF">2022-10-18T02:07:00Z</dcterms:created>
  <dcterms:modified xsi:type="dcterms:W3CDTF">2022-11-07T08:42:00Z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5C40B3CAD4EB4551A2C509D8348093DA</vt:lpwstr>
  </property>
</Properties>
</file>