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777" w:rsidRDefault="00EA0777"/>
    <w:p w:rsidR="00EA0777" w:rsidRDefault="00EA0777"/>
    <w:p w:rsidR="00EA0777" w:rsidRDefault="00EA0777"/>
    <w:p w:rsidR="00EA0777" w:rsidRDefault="001B7201">
      <w:pPr>
        <w:spacing w:line="560" w:lineRule="exact"/>
        <w:jc w:val="center"/>
        <w:rPr>
          <w:rFonts w:ascii="方正小标宋简体" w:eastAsia="方正小标宋简体" w:hAnsi="方正小标宋简体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世界投资者周</w:t>
      </w:r>
      <w:proofErr w:type="gramStart"/>
      <w:r>
        <w:rPr>
          <w:rFonts w:ascii="方正小标宋简体" w:eastAsia="方正小标宋简体" w:hAnsi="方正小标宋简体" w:hint="eastAsia"/>
          <w:sz w:val="44"/>
        </w:rPr>
        <w:t>丨</w:t>
      </w:r>
      <w:proofErr w:type="gramEnd"/>
      <w:r>
        <w:rPr>
          <w:rFonts w:ascii="方正小标宋简体" w:eastAsia="方正小标宋简体" w:hAnsi="方正小标宋简体" w:hint="eastAsia"/>
          <w:sz w:val="44"/>
        </w:rPr>
        <w:t>期权入市手册（十一）：</w:t>
      </w:r>
      <w:r>
        <w:rPr>
          <w:rFonts w:ascii="方正小标宋简体" w:eastAsia="方正小标宋简体" w:hAnsi="方正小标宋简体"/>
          <w:sz w:val="44"/>
        </w:rPr>
        <w:br/>
      </w:r>
      <w:r>
        <w:rPr>
          <w:rFonts w:ascii="方正小标宋简体" w:eastAsia="方正小标宋简体" w:hAnsi="方正小标宋简体" w:hint="eastAsia"/>
          <w:sz w:val="44"/>
        </w:rPr>
        <w:t>深市期权交易制度（上）</w:t>
      </w:r>
    </w:p>
    <w:p w:rsidR="00EA0777" w:rsidRDefault="00EA0777"/>
    <w:p w:rsidR="00EA0777" w:rsidRDefault="00EA0777"/>
    <w:p w:rsidR="00EA0777" w:rsidRDefault="00EA0777"/>
    <w:p w:rsidR="00EA0777" w:rsidRDefault="001B7201">
      <w:pPr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编者按：2022年9月19日</w:t>
      </w:r>
      <w:bookmarkStart w:id="0" w:name="_GoBack"/>
      <w:bookmarkEnd w:id="0"/>
      <w:r>
        <w:rPr>
          <w:rFonts w:ascii="仿宋" w:eastAsia="仿宋" w:hAnsi="仿宋" w:hint="eastAsia"/>
          <w:sz w:val="32"/>
        </w:rPr>
        <w:t>，深市期权新品种——创业板ETF期权（标的为创业板ETF，代码159915）、中证500ETF期权（标的为中证500ETF，代码159922）上市交易。为帮助投资者系统了解期权产品特征、理性参与期权交易、有效提升风险管理能力，深交所联合市场机构推出“期权入市手册”系列连载文章。今天是第11期，让我们一起学习深市期权的交易制度吧！</w:t>
      </w:r>
    </w:p>
    <w:p w:rsidR="00EA0777" w:rsidRDefault="00EA0777">
      <w:pPr>
        <w:spacing w:line="560" w:lineRule="exact"/>
        <w:rPr>
          <w:rFonts w:ascii="仿宋" w:eastAsia="仿宋" w:hAnsi="仿宋"/>
          <w:sz w:val="32"/>
        </w:rPr>
      </w:pPr>
    </w:p>
    <w:p w:rsidR="00EA0777" w:rsidRDefault="001B7201">
      <w:pPr>
        <w:keepNext/>
        <w:keepLines/>
        <w:numPr>
          <w:ilvl w:val="0"/>
          <w:numId w:val="1"/>
        </w:numPr>
        <w:spacing w:line="560" w:lineRule="exact"/>
        <w:ind w:left="0" w:firstLineChars="200" w:firstLine="643"/>
        <w:outlineLvl w:val="2"/>
        <w:rPr>
          <w:rFonts w:ascii="仿宋" w:eastAsia="仿宋" w:hAnsi="仿宋" w:cs="Times New Roman"/>
          <w:b/>
          <w:bCs/>
          <w:sz w:val="32"/>
          <w:szCs w:val="32"/>
        </w:rPr>
      </w:pPr>
      <w:bookmarkStart w:id="1" w:name="_Toc110967999"/>
      <w:r>
        <w:rPr>
          <w:rFonts w:ascii="仿宋" w:eastAsia="仿宋" w:hAnsi="仿宋" w:cs="Times New Roman"/>
          <w:b/>
          <w:bCs/>
          <w:sz w:val="32"/>
          <w:szCs w:val="32"/>
        </w:rPr>
        <w:t>期权的买卖类型有哪些？</w:t>
      </w:r>
      <w:bookmarkEnd w:id="1"/>
    </w:p>
    <w:p w:rsidR="00EA0777" w:rsidRDefault="001B7201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期权买卖类型包括：买入开仓、卖出平仓、卖出开仓、买入平仓、备兑开仓以及备兑平仓等。</w:t>
      </w:r>
    </w:p>
    <w:p w:rsidR="00EA0777" w:rsidRDefault="00EA0777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EA0777" w:rsidRDefault="001B7201">
      <w:pPr>
        <w:keepNext/>
        <w:keepLines/>
        <w:numPr>
          <w:ilvl w:val="0"/>
          <w:numId w:val="1"/>
        </w:numPr>
        <w:spacing w:line="560" w:lineRule="exact"/>
        <w:ind w:left="0" w:firstLineChars="200" w:firstLine="643"/>
        <w:outlineLvl w:val="2"/>
        <w:rPr>
          <w:rFonts w:ascii="仿宋" w:eastAsia="仿宋" w:hAnsi="仿宋" w:cs="Times New Roman"/>
          <w:b/>
          <w:bCs/>
          <w:sz w:val="32"/>
          <w:szCs w:val="32"/>
        </w:rPr>
      </w:pPr>
      <w:bookmarkStart w:id="2" w:name="_Toc110968000"/>
      <w:r>
        <w:rPr>
          <w:rFonts w:ascii="仿宋" w:eastAsia="仿宋" w:hAnsi="仿宋" w:cs="Times New Roman"/>
          <w:b/>
          <w:bCs/>
          <w:sz w:val="32"/>
          <w:szCs w:val="32"/>
        </w:rPr>
        <w:t>单笔最多可以申报多少张期权合约?</w:t>
      </w:r>
      <w:bookmarkEnd w:id="2"/>
    </w:p>
    <w:p w:rsidR="00EA0777" w:rsidRDefault="001B7201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期权交易的申报数量为1张或者其整数</w:t>
      </w:r>
      <w:proofErr w:type="gramStart"/>
      <w:r>
        <w:rPr>
          <w:rFonts w:ascii="仿宋" w:eastAsia="仿宋" w:hAnsi="仿宋" w:cs="Times New Roman"/>
          <w:sz w:val="32"/>
          <w:szCs w:val="32"/>
        </w:rPr>
        <w:t>倍</w:t>
      </w:r>
      <w:proofErr w:type="gramEnd"/>
      <w:r>
        <w:rPr>
          <w:rFonts w:ascii="仿宋" w:eastAsia="仿宋" w:hAnsi="仿宋" w:cs="Times New Roman"/>
          <w:sz w:val="32"/>
          <w:szCs w:val="32"/>
        </w:rPr>
        <w:t>，</w:t>
      </w:r>
      <w:r>
        <w:rPr>
          <w:rFonts w:ascii="仿宋" w:eastAsia="仿宋" w:hAnsi="仿宋" w:cs="Times New Roman"/>
          <w:b/>
          <w:sz w:val="32"/>
          <w:szCs w:val="32"/>
        </w:rPr>
        <w:t>限价申报</w:t>
      </w:r>
      <w:r>
        <w:rPr>
          <w:rFonts w:ascii="仿宋" w:eastAsia="仿宋" w:hAnsi="仿宋" w:cs="Times New Roman"/>
          <w:sz w:val="32"/>
          <w:szCs w:val="32"/>
        </w:rPr>
        <w:t>的单笔申报最大数量为50张，</w:t>
      </w:r>
      <w:r>
        <w:rPr>
          <w:rFonts w:ascii="仿宋" w:eastAsia="仿宋" w:hAnsi="仿宋" w:cs="Times New Roman"/>
          <w:b/>
          <w:sz w:val="32"/>
          <w:szCs w:val="32"/>
        </w:rPr>
        <w:t>市价申报</w:t>
      </w:r>
      <w:r>
        <w:rPr>
          <w:rFonts w:ascii="仿宋" w:eastAsia="仿宋" w:hAnsi="仿宋" w:cs="Times New Roman"/>
          <w:sz w:val="32"/>
          <w:szCs w:val="32"/>
        </w:rPr>
        <w:t>的单笔申报最大数量为10张。</w:t>
      </w:r>
    </w:p>
    <w:p w:rsidR="00EA0777" w:rsidRDefault="001B7201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根据市场需要，深交所可以调整单笔买卖申报的最小和最大数量。</w:t>
      </w:r>
    </w:p>
    <w:p w:rsidR="00EA0777" w:rsidRDefault="00EA0777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EA0777" w:rsidRDefault="001B7201">
      <w:pPr>
        <w:keepNext/>
        <w:keepLines/>
        <w:numPr>
          <w:ilvl w:val="0"/>
          <w:numId w:val="1"/>
        </w:numPr>
        <w:spacing w:line="560" w:lineRule="exact"/>
        <w:ind w:left="0" w:firstLineChars="200" w:firstLine="643"/>
        <w:outlineLvl w:val="2"/>
        <w:rPr>
          <w:rFonts w:ascii="仿宋" w:eastAsia="仿宋" w:hAnsi="仿宋" w:cs="Times New Roman"/>
          <w:b/>
          <w:bCs/>
          <w:sz w:val="32"/>
          <w:szCs w:val="32"/>
        </w:rPr>
      </w:pPr>
      <w:bookmarkStart w:id="3" w:name="_Toc110968001"/>
      <w:r>
        <w:rPr>
          <w:rFonts w:ascii="仿宋" w:eastAsia="仿宋" w:hAnsi="仿宋" w:cs="Times New Roman"/>
          <w:b/>
          <w:bCs/>
          <w:sz w:val="32"/>
          <w:szCs w:val="32"/>
        </w:rPr>
        <w:lastRenderedPageBreak/>
        <w:t>交易所有哪几类的合约申报指令？</w:t>
      </w:r>
      <w:bookmarkEnd w:id="3"/>
    </w:p>
    <w:p w:rsidR="00EA0777" w:rsidRDefault="001B7201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深交</w:t>
      </w:r>
      <w:r>
        <w:rPr>
          <w:rFonts w:ascii="仿宋" w:eastAsia="仿宋" w:hAnsi="仿宋" w:cs="Times New Roman"/>
          <w:sz w:val="32"/>
          <w:szCs w:val="32"/>
        </w:rPr>
        <w:t>所接受的限价申报和市价申报指令包括：</w:t>
      </w:r>
    </w:p>
    <w:p w:rsidR="00EA0777" w:rsidRDefault="001B7201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（1）普通限价申报；</w:t>
      </w:r>
    </w:p>
    <w:p w:rsidR="00EA0777" w:rsidRDefault="001B7201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（2）全额成交或撤销限价申报；</w:t>
      </w:r>
    </w:p>
    <w:p w:rsidR="00EA0777" w:rsidRDefault="001B7201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（3）对手方最优价格市价申报；</w:t>
      </w:r>
    </w:p>
    <w:p w:rsidR="00EA0777" w:rsidRDefault="001B7201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（4）本方最优价格市价申报；</w:t>
      </w:r>
    </w:p>
    <w:p w:rsidR="00EA0777" w:rsidRDefault="001B7201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（5）最优五档即时成交剩余撤销市价申报；</w:t>
      </w:r>
    </w:p>
    <w:p w:rsidR="00EA0777" w:rsidRDefault="001B7201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（6）即时成交剩余撤销市价申报；</w:t>
      </w:r>
    </w:p>
    <w:p w:rsidR="00EA0777" w:rsidRDefault="001B7201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（7）全额成交或撤销市价申报；</w:t>
      </w:r>
    </w:p>
    <w:p w:rsidR="00EA0777" w:rsidRDefault="001B7201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（8）深交所规定的其他申报类型。</w:t>
      </w:r>
    </w:p>
    <w:p w:rsidR="00EA0777" w:rsidRDefault="00EA0777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EA0777" w:rsidRDefault="001B7201">
      <w:pPr>
        <w:keepNext/>
        <w:keepLines/>
        <w:numPr>
          <w:ilvl w:val="0"/>
          <w:numId w:val="1"/>
        </w:numPr>
        <w:spacing w:line="560" w:lineRule="exact"/>
        <w:ind w:left="0" w:firstLineChars="200" w:firstLine="643"/>
        <w:outlineLvl w:val="2"/>
        <w:rPr>
          <w:rFonts w:ascii="仿宋" w:eastAsia="仿宋" w:hAnsi="仿宋" w:cs="Times New Roman"/>
          <w:b/>
          <w:bCs/>
          <w:sz w:val="32"/>
          <w:szCs w:val="32"/>
        </w:rPr>
      </w:pPr>
      <w:bookmarkStart w:id="4" w:name="_Toc110968002"/>
      <w:r>
        <w:rPr>
          <w:rFonts w:ascii="仿宋" w:eastAsia="仿宋" w:hAnsi="仿宋" w:cs="Times New Roman" w:hint="eastAsia"/>
          <w:b/>
          <w:bCs/>
          <w:sz w:val="32"/>
          <w:szCs w:val="32"/>
        </w:rPr>
        <w:t>什么是期权的价格涨跌停制度</w:t>
      </w:r>
      <w:r>
        <w:rPr>
          <w:rFonts w:ascii="仿宋" w:eastAsia="仿宋" w:hAnsi="仿宋" w:cs="Times New Roman"/>
          <w:b/>
          <w:bCs/>
          <w:sz w:val="32"/>
          <w:szCs w:val="32"/>
        </w:rPr>
        <w:t>？</w:t>
      </w:r>
      <w:bookmarkEnd w:id="4"/>
    </w:p>
    <w:p w:rsidR="00EA0777" w:rsidRDefault="001B7201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8"/>
        </w:rPr>
      </w:pPr>
      <w:r>
        <w:rPr>
          <w:rFonts w:ascii="仿宋" w:eastAsia="仿宋" w:hAnsi="仿宋" w:cs="Times New Roman" w:hint="eastAsia"/>
          <w:sz w:val="32"/>
          <w:szCs w:val="28"/>
        </w:rPr>
        <w:t>为了抑制过度投机行为，防止期权市场出现大幅涨跌的情形，</w:t>
      </w:r>
      <w:r>
        <w:rPr>
          <w:rFonts w:ascii="仿宋" w:eastAsia="仿宋" w:hAnsi="仿宋" w:cs="Times New Roman" w:hint="eastAsia"/>
          <w:b/>
          <w:sz w:val="32"/>
          <w:szCs w:val="28"/>
        </w:rPr>
        <w:t>深市期权交易实行价格涨跌停制度</w:t>
      </w:r>
      <w:r>
        <w:rPr>
          <w:rFonts w:ascii="仿宋" w:eastAsia="仿宋" w:hAnsi="仿宋" w:cs="Times New Roman" w:hint="eastAsia"/>
          <w:sz w:val="32"/>
          <w:szCs w:val="28"/>
        </w:rPr>
        <w:t>。当投资者的申报价格超过涨跌停价格，申报无效。</w:t>
      </w:r>
    </w:p>
    <w:p w:rsidR="00EA0777" w:rsidRDefault="001B7201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8"/>
        </w:rPr>
      </w:pPr>
      <w:r>
        <w:rPr>
          <w:rFonts w:ascii="仿宋" w:eastAsia="仿宋" w:hAnsi="仿宋" w:cs="Times New Roman" w:hint="eastAsia"/>
          <w:sz w:val="32"/>
          <w:szCs w:val="28"/>
        </w:rPr>
        <w:t>深交所会在每个交易日的开盘前，公布期权合约当日的涨跌停价格。值得注意的是，</w:t>
      </w:r>
      <w:r>
        <w:rPr>
          <w:rFonts w:ascii="仿宋" w:eastAsia="仿宋" w:hAnsi="仿宋" w:cs="Times New Roman" w:hint="eastAsia"/>
          <w:b/>
          <w:sz w:val="32"/>
          <w:szCs w:val="28"/>
        </w:rPr>
        <w:t>在期权合约的最后交易日，不设跌停价</w:t>
      </w:r>
      <w:r>
        <w:rPr>
          <w:rFonts w:ascii="仿宋" w:eastAsia="仿宋" w:hAnsi="仿宋" w:cs="Times New Roman" w:hint="eastAsia"/>
          <w:sz w:val="32"/>
          <w:szCs w:val="28"/>
        </w:rPr>
        <w:t>。</w:t>
      </w:r>
    </w:p>
    <w:p w:rsidR="00EA0777" w:rsidRDefault="001B7201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8"/>
        </w:rPr>
      </w:pPr>
      <w:r>
        <w:rPr>
          <w:rFonts w:ascii="仿宋" w:eastAsia="仿宋" w:hAnsi="仿宋" w:cs="Times New Roman" w:hint="eastAsia"/>
          <w:sz w:val="32"/>
          <w:szCs w:val="28"/>
        </w:rPr>
        <w:t>如果投资者有兴趣，可以在《深圳证券交易所股票期权试点交易规则》中了解深市期权合约涨跌停价格的计算公式。</w:t>
      </w:r>
    </w:p>
    <w:p w:rsidR="00EA0777" w:rsidRDefault="00EA0777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8"/>
        </w:rPr>
      </w:pPr>
    </w:p>
    <w:p w:rsidR="00EA0777" w:rsidRDefault="001B7201">
      <w:pPr>
        <w:keepNext/>
        <w:keepLines/>
        <w:numPr>
          <w:ilvl w:val="0"/>
          <w:numId w:val="1"/>
        </w:numPr>
        <w:spacing w:line="560" w:lineRule="exact"/>
        <w:ind w:left="0" w:firstLineChars="200" w:firstLine="643"/>
        <w:outlineLvl w:val="2"/>
        <w:rPr>
          <w:rFonts w:ascii="仿宋" w:eastAsia="仿宋" w:hAnsi="仿宋" w:cs="Times New Roman"/>
          <w:b/>
          <w:bCs/>
          <w:sz w:val="32"/>
          <w:szCs w:val="32"/>
        </w:rPr>
      </w:pPr>
      <w:bookmarkStart w:id="5" w:name="_Toc82449701"/>
      <w:bookmarkStart w:id="6" w:name="_Toc110968003"/>
      <w:bookmarkEnd w:id="5"/>
      <w:r>
        <w:rPr>
          <w:rFonts w:ascii="仿宋" w:eastAsia="仿宋" w:hAnsi="仿宋" w:cs="Times New Roman"/>
          <w:b/>
          <w:bCs/>
          <w:sz w:val="32"/>
          <w:szCs w:val="32"/>
        </w:rPr>
        <w:t>什么是期权的熔断制度？</w:t>
      </w:r>
      <w:bookmarkEnd w:id="6"/>
    </w:p>
    <w:p w:rsidR="00EA0777" w:rsidRDefault="001B7201">
      <w:pPr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b/>
          <w:sz w:val="32"/>
          <w:szCs w:val="32"/>
        </w:rPr>
        <w:t>深市期权交易实行熔断制度</w:t>
      </w:r>
      <w:r>
        <w:rPr>
          <w:rFonts w:ascii="仿宋" w:eastAsia="仿宋" w:hAnsi="仿宋" w:cs="Times New Roman"/>
          <w:sz w:val="32"/>
          <w:szCs w:val="32"/>
        </w:rPr>
        <w:t>。连续竞价交易期间，合约盘中交易价格</w:t>
      </w:r>
      <w:proofErr w:type="gramStart"/>
      <w:r>
        <w:rPr>
          <w:rFonts w:ascii="仿宋" w:eastAsia="仿宋" w:hAnsi="仿宋" w:cs="Times New Roman"/>
          <w:sz w:val="32"/>
          <w:szCs w:val="32"/>
        </w:rPr>
        <w:t>较最近</w:t>
      </w:r>
      <w:proofErr w:type="gramEnd"/>
      <w:r>
        <w:rPr>
          <w:rFonts w:ascii="仿宋" w:eastAsia="仿宋" w:hAnsi="仿宋" w:cs="Times New Roman"/>
          <w:sz w:val="32"/>
          <w:szCs w:val="32"/>
        </w:rPr>
        <w:t>参考价格上涨、下跌达到或者超过50%，</w:t>
      </w:r>
      <w:r>
        <w:rPr>
          <w:rFonts w:ascii="仿宋" w:eastAsia="仿宋" w:hAnsi="仿宋" w:cs="Times New Roman"/>
          <w:sz w:val="32"/>
          <w:szCs w:val="32"/>
        </w:rPr>
        <w:lastRenderedPageBreak/>
        <w:t>且价格涨跌绝对值达到或者超过该合约最小报价单位10倍的，该合约进入3分钟的集合竞价交易阶段。集合竞价交易结束后，合约继续进行连续竞价交易。盘中集合竞价时间跨越14</w:t>
      </w:r>
      <w:r>
        <w:rPr>
          <w:rFonts w:ascii="仿宋" w:eastAsia="仿宋" w:hAnsi="仿宋" w:cs="Times New Roman" w:hint="eastAsia"/>
          <w:sz w:val="32"/>
          <w:szCs w:val="32"/>
        </w:rPr>
        <w:t>:</w:t>
      </w:r>
      <w:r>
        <w:rPr>
          <w:rFonts w:ascii="仿宋" w:eastAsia="仿宋" w:hAnsi="仿宋" w:cs="Times New Roman"/>
          <w:sz w:val="32"/>
          <w:szCs w:val="32"/>
        </w:rPr>
        <w:t>57的，于14</w:t>
      </w:r>
      <w:r>
        <w:rPr>
          <w:rFonts w:ascii="仿宋" w:eastAsia="仿宋" w:hAnsi="仿宋" w:cs="Times New Roman" w:hint="eastAsia"/>
          <w:sz w:val="32"/>
          <w:szCs w:val="32"/>
        </w:rPr>
        <w:t>:</w:t>
      </w:r>
      <w:r>
        <w:rPr>
          <w:rFonts w:ascii="仿宋" w:eastAsia="仿宋" w:hAnsi="仿宋" w:cs="Times New Roman"/>
          <w:sz w:val="32"/>
          <w:szCs w:val="32"/>
        </w:rPr>
        <w:t>57恢复交易并进行收盘集合竞价。</w:t>
      </w:r>
    </w:p>
    <w:p w:rsidR="00EA0777" w:rsidRDefault="001B7201">
      <w:pPr>
        <w:spacing w:line="560" w:lineRule="exact"/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【小贴士】</w:t>
      </w:r>
    </w:p>
    <w:p w:rsidR="00EA0777" w:rsidRDefault="001B7201">
      <w:pPr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最近参考价格</w:t>
      </w:r>
      <w:r>
        <w:rPr>
          <w:rFonts w:ascii="仿宋" w:eastAsia="仿宋" w:hAnsi="仿宋" w:cs="Times New Roman" w:hint="eastAsia"/>
          <w:sz w:val="32"/>
          <w:szCs w:val="32"/>
        </w:rPr>
        <w:t>，是指期权合约在最近一次集合竞价阶段产生的成交价格。开盘集合竞价阶段未产生成交价格的，以期权合约前结算价格作为最近参考价格。盘中集合竞价阶段未产生成交价格的，以进入该集合竞价阶段前的最后一笔成交价格作为最近参考价格。</w:t>
      </w:r>
    </w:p>
    <w:p w:rsidR="00EA0777" w:rsidRDefault="00EA0777">
      <w:pPr>
        <w:spacing w:line="560" w:lineRule="exact"/>
        <w:rPr>
          <w:rFonts w:ascii="仿宋" w:eastAsia="仿宋" w:hAnsi="仿宋" w:cs="Times New Roman"/>
          <w:b/>
          <w:sz w:val="32"/>
          <w:szCs w:val="32"/>
        </w:rPr>
      </w:pPr>
    </w:p>
    <w:p w:rsidR="00EA0777" w:rsidRDefault="00EA0777">
      <w:pPr>
        <w:spacing w:line="560" w:lineRule="exact"/>
        <w:rPr>
          <w:rFonts w:ascii="仿宋" w:eastAsia="仿宋" w:hAnsi="仿宋"/>
          <w:sz w:val="32"/>
        </w:rPr>
      </w:pPr>
    </w:p>
    <w:p w:rsidR="00EA0777" w:rsidRDefault="001B7201">
      <w:pPr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（“期权入市手册”系列文章支持单位：广发证券、国泰君安证券、华泰证券、嘉实基金、易方达基金、招商证券、中</w:t>
      </w:r>
      <w:proofErr w:type="gramStart"/>
      <w:r>
        <w:rPr>
          <w:rFonts w:ascii="仿宋" w:eastAsia="仿宋" w:hAnsi="仿宋" w:hint="eastAsia"/>
          <w:sz w:val="32"/>
        </w:rPr>
        <w:t>信建投证券</w:t>
      </w:r>
      <w:proofErr w:type="gramEnd"/>
      <w:r>
        <w:rPr>
          <w:rFonts w:ascii="仿宋" w:eastAsia="仿宋" w:hAnsi="仿宋" w:hint="eastAsia"/>
          <w:sz w:val="32"/>
        </w:rPr>
        <w:t>（按音序排列，排名不分先后））</w:t>
      </w:r>
    </w:p>
    <w:p w:rsidR="00EA0777" w:rsidRDefault="00EA0777">
      <w:pPr>
        <w:spacing w:line="560" w:lineRule="exact"/>
        <w:rPr>
          <w:rFonts w:ascii="仿宋" w:eastAsia="仿宋" w:hAnsi="仿宋"/>
          <w:sz w:val="32"/>
        </w:rPr>
      </w:pPr>
    </w:p>
    <w:p w:rsidR="00EA0777" w:rsidRDefault="001B7201">
      <w:pPr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免责声明：本文仅为投资者教育之目的而发布，不构成投资建议。投资者据此操作，风险自担。深圳证券交易所力求本文所涉信息准确可靠，但并不对其准确性、完整性和及时性做出任何保证，对因使用本文引发的损失不承担责任。）</w:t>
      </w:r>
      <w:r>
        <w:rPr>
          <w:rFonts w:ascii="仿宋" w:eastAsia="仿宋" w:hAnsi="仿宋" w:hint="eastAsia"/>
          <w:b/>
          <w:noProof/>
          <w:sz w:val="180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1410970" cy="244475"/>
                <wp:effectExtent l="0" t="0" r="17780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970" cy="244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500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EA0777" w:rsidRDefault="001B7201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FF0000"/>
                                <w:szCs w:val="21"/>
                              </w:rPr>
                              <w:t>内部使用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Text Box 2" o:spid="_x0000_s1026" o:spt="202" type="#_x0000_t202" style="position:absolute;left:0pt;margin-left:392.8pt;margin-top:51pt;height:19.25pt;width:111.1pt;mso-position-horizontal-relative:page;mso-position-vertical-relative:page;z-index:251659264;mso-width-relative:page;mso-height-relative:page;" fillcolor="#FFFFFF" filled="t" stroked="t" coordsize="21600,21600" o:allowincell="f" o:gfxdata="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DWnJrXVAAAABAEAAA8AAAAAAAAAAQAgAAAAIgAAAGRycy9kb3du&#10;cmV2LnhtbFBLAQIUABQAAAAIAIdO4kBTHdQiOwIAAKgEAAAOAAAAAAAAAAEAIAAAACQBAABkcnMv&#10;ZTJvRG9jLnhtbFBLBQYAAAAABgAGAFkBAADRBQAAAAA=&#10;">
                <v:fill on="t" opacity="49152f" focussize="0,0"/>
                <v:stroke weight="1.5pt" color="#FF0000" miterlimit="8" joinstyle="miter"/>
                <v:imagedata o:title=""/>
                <o:lock v:ext="edit" aspectratio="f"/>
                <v:textbox inset="1mm,1mm,1mm,1mm" style="mso-fit-shape-to-text:t;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FF0000"/>
                          <w:szCs w:val="21"/>
                        </w:rPr>
                        <w:t>内部使用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EA0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87F189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96BBF"/>
    <w:multiLevelType w:val="multilevel"/>
    <w:tmpl w:val="7A096BB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嘉琦">
    <w15:presenceInfo w15:providerId="None" w15:userId="张嘉琦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7F"/>
    <w:rsid w:val="00024E42"/>
    <w:rsid w:val="00073B27"/>
    <w:rsid w:val="000E658A"/>
    <w:rsid w:val="001B7201"/>
    <w:rsid w:val="0020392E"/>
    <w:rsid w:val="00254873"/>
    <w:rsid w:val="00273878"/>
    <w:rsid w:val="002B4453"/>
    <w:rsid w:val="0032412C"/>
    <w:rsid w:val="00386A5F"/>
    <w:rsid w:val="003B3D62"/>
    <w:rsid w:val="003E1D15"/>
    <w:rsid w:val="004352D8"/>
    <w:rsid w:val="00454B35"/>
    <w:rsid w:val="00485D85"/>
    <w:rsid w:val="004A65EE"/>
    <w:rsid w:val="00575795"/>
    <w:rsid w:val="00590C44"/>
    <w:rsid w:val="005A5EA9"/>
    <w:rsid w:val="00603685"/>
    <w:rsid w:val="0063465B"/>
    <w:rsid w:val="006D73C9"/>
    <w:rsid w:val="00736092"/>
    <w:rsid w:val="007F1C7C"/>
    <w:rsid w:val="00872572"/>
    <w:rsid w:val="00924E1A"/>
    <w:rsid w:val="00A12A83"/>
    <w:rsid w:val="00B44386"/>
    <w:rsid w:val="00B46E54"/>
    <w:rsid w:val="00B47BC0"/>
    <w:rsid w:val="00BF607F"/>
    <w:rsid w:val="00C16D94"/>
    <w:rsid w:val="00CD5C62"/>
    <w:rsid w:val="00CF24AA"/>
    <w:rsid w:val="00D41A29"/>
    <w:rsid w:val="00D801F4"/>
    <w:rsid w:val="00DF5D5D"/>
    <w:rsid w:val="00E04C3C"/>
    <w:rsid w:val="00EA0777"/>
    <w:rsid w:val="00EC4A75"/>
    <w:rsid w:val="00EF0751"/>
    <w:rsid w:val="00FD2CDF"/>
    <w:rsid w:val="2E85780B"/>
    <w:rsid w:val="48B82223"/>
    <w:rsid w:val="5A245050"/>
    <w:rsid w:val="686C4009"/>
    <w:rsid w:val="6BB700EA"/>
    <w:rsid w:val="6F5D389D"/>
    <w:rsid w:val="7374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/>
    <w:lsdException w:name="caption" w:semiHidden="0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line="560" w:lineRule="exact"/>
      <w:outlineLvl w:val="2"/>
    </w:pPr>
    <w:rPr>
      <w:rFonts w:ascii="仿宋" w:eastAsia="仿宋" w:hAnsi="仿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link w:val="Char3"/>
    <w:uiPriority w:val="99"/>
    <w:semiHidden/>
    <w:unhideWhenUsed/>
    <w:rPr>
      <w:b/>
      <w:bCs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0">
    <w:name w:val="批注框文本 Char"/>
    <w:basedOn w:val="a0"/>
    <w:link w:val="a5"/>
    <w:uiPriority w:val="99"/>
    <w:semiHidden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仿宋" w:eastAsia="仿宋" w:hAnsi="仿宋"/>
      <w:b/>
      <w:bCs/>
      <w:kern w:val="2"/>
      <w:sz w:val="32"/>
      <w:szCs w:val="32"/>
    </w:rPr>
  </w:style>
  <w:style w:type="table" w:customStyle="1" w:styleId="1">
    <w:name w:val="网格型1"/>
    <w:basedOn w:val="a1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a1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文字 Char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rPr>
      <w:b/>
      <w:bCs/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2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/>
    <w:lsdException w:name="caption" w:semiHidden="0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line="560" w:lineRule="exact"/>
      <w:outlineLvl w:val="2"/>
    </w:pPr>
    <w:rPr>
      <w:rFonts w:ascii="仿宋" w:eastAsia="仿宋" w:hAnsi="仿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link w:val="Char3"/>
    <w:uiPriority w:val="99"/>
    <w:semiHidden/>
    <w:unhideWhenUsed/>
    <w:rPr>
      <w:b/>
      <w:bCs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0">
    <w:name w:val="批注框文本 Char"/>
    <w:basedOn w:val="a0"/>
    <w:link w:val="a5"/>
    <w:uiPriority w:val="99"/>
    <w:semiHidden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仿宋" w:eastAsia="仿宋" w:hAnsi="仿宋"/>
      <w:b/>
      <w:bCs/>
      <w:kern w:val="2"/>
      <w:sz w:val="32"/>
      <w:szCs w:val="32"/>
    </w:rPr>
  </w:style>
  <w:style w:type="table" w:customStyle="1" w:styleId="1">
    <w:name w:val="网格型1"/>
    <w:basedOn w:val="a1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a1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文字 Char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rPr>
      <w:b/>
      <w:bCs/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2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microsoft.com/office/2007/relationships/stylesWithEffects" Target="stylesWithEffect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A45A8-AED0-4D37-8E4E-1A6F6EFE6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陈洁</dc:creator>
  <cp:lastModifiedBy>陈洁</cp:lastModifiedBy>
  <cp:revision>3</cp:revision>
  <dcterms:created xsi:type="dcterms:W3CDTF">2022-10-18T02:06:00Z</dcterms:created>
  <dcterms:modified xsi:type="dcterms:W3CDTF">2022-11-02T06:05:00Z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67A4EC97B2BA491A8CFF6AC71583A11D</vt:lpwstr>
  </property>
</Properties>
</file>