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7F" w:rsidRDefault="00BF607F"/>
    <w:p w:rsidR="00BF607F" w:rsidRDefault="00BF607F"/>
    <w:p w:rsidR="00BF607F" w:rsidRDefault="00BF607F"/>
    <w:p w:rsidR="00BF607F" w:rsidRPr="00BF607F" w:rsidRDefault="00BF607F" w:rsidP="00BF607F">
      <w:pPr>
        <w:spacing w:line="560" w:lineRule="exact"/>
        <w:jc w:val="center"/>
        <w:rPr>
          <w:rFonts w:ascii="方正小标宋简体" w:eastAsia="方正小标宋简体" w:hAnsi="方正小标宋简体"/>
          <w:sz w:val="44"/>
        </w:rPr>
      </w:pPr>
      <w:r w:rsidRPr="00BF607F">
        <w:rPr>
          <w:rFonts w:ascii="方正小标宋简体" w:eastAsia="方正小标宋简体" w:hAnsi="方正小标宋简体" w:hint="eastAsia"/>
          <w:sz w:val="44"/>
        </w:rPr>
        <w:t>金融知识普及月</w:t>
      </w:r>
      <w:proofErr w:type="gramStart"/>
      <w:r w:rsidRPr="00BF607F">
        <w:rPr>
          <w:rFonts w:ascii="方正小标宋简体" w:eastAsia="方正小标宋简体" w:hAnsi="方正小标宋简体" w:hint="eastAsia"/>
          <w:sz w:val="44"/>
        </w:rPr>
        <w:t>丨</w:t>
      </w:r>
      <w:proofErr w:type="gramEnd"/>
      <w:r w:rsidRPr="00BF607F">
        <w:rPr>
          <w:rFonts w:ascii="方正小标宋简体" w:eastAsia="方正小标宋简体" w:hAnsi="方正小标宋简体" w:hint="eastAsia"/>
          <w:sz w:val="44"/>
        </w:rPr>
        <w:t>期权入市手册（一）：</w:t>
      </w:r>
      <w:r>
        <w:rPr>
          <w:rFonts w:ascii="方正小标宋简体" w:eastAsia="方正小标宋简体" w:hAnsi="方正小标宋简体"/>
          <w:sz w:val="44"/>
        </w:rPr>
        <w:br/>
      </w:r>
      <w:r w:rsidRPr="00BF607F">
        <w:rPr>
          <w:rFonts w:ascii="方正小标宋简体" w:eastAsia="方正小标宋简体" w:hAnsi="方正小标宋简体" w:hint="eastAsia"/>
          <w:sz w:val="44"/>
        </w:rPr>
        <w:t>期权的基本概念</w:t>
      </w:r>
    </w:p>
    <w:p w:rsidR="00BF607F" w:rsidRDefault="00BF607F"/>
    <w:p w:rsidR="00BF607F" w:rsidRDefault="00BF607F"/>
    <w:p w:rsidR="00BF607F" w:rsidRDefault="00BF607F"/>
    <w:p w:rsidR="00BF607F" w:rsidRPr="00BF607F" w:rsidRDefault="00BF607F" w:rsidP="00BF607F">
      <w:pPr>
        <w:spacing w:line="560" w:lineRule="exact"/>
        <w:rPr>
          <w:rFonts w:ascii="仿宋" w:eastAsia="仿宋" w:hAnsi="仿宋"/>
          <w:sz w:val="32"/>
        </w:rPr>
      </w:pPr>
      <w:r w:rsidRPr="00BF607F">
        <w:rPr>
          <w:rFonts w:ascii="仿宋" w:eastAsia="仿宋" w:hAnsi="仿宋" w:hint="eastAsia"/>
          <w:sz w:val="32"/>
        </w:rPr>
        <w:t>编者按</w:t>
      </w:r>
      <w:r>
        <w:rPr>
          <w:rFonts w:ascii="仿宋" w:eastAsia="仿宋" w:hAnsi="仿宋" w:hint="eastAsia"/>
          <w:sz w:val="32"/>
        </w:rPr>
        <w:t>：2022年9月19日，深市期权新品种——创业板ETF期权（159915）、中证500ETF期权（159922）上市交易。为帮助投资者系统了解期权产品特征、理性参与期权交易</w:t>
      </w:r>
      <w:r w:rsidR="0022348E">
        <w:rPr>
          <w:rFonts w:ascii="仿宋" w:eastAsia="仿宋" w:hAnsi="仿宋" w:hint="eastAsia"/>
          <w:sz w:val="32"/>
        </w:rPr>
        <w:t>、有效提升风险管理能力</w:t>
      </w:r>
      <w:r>
        <w:rPr>
          <w:rFonts w:ascii="仿宋" w:eastAsia="仿宋" w:hAnsi="仿宋" w:hint="eastAsia"/>
          <w:sz w:val="32"/>
        </w:rPr>
        <w:t>，深交所</w:t>
      </w:r>
      <w:r w:rsidR="0022348E">
        <w:rPr>
          <w:rFonts w:ascii="仿宋" w:eastAsia="仿宋" w:hAnsi="仿宋" w:hint="eastAsia"/>
          <w:sz w:val="32"/>
        </w:rPr>
        <w:t>联合市场机构</w:t>
      </w:r>
      <w:r>
        <w:rPr>
          <w:rFonts w:ascii="仿宋" w:eastAsia="仿宋" w:hAnsi="仿宋" w:hint="eastAsia"/>
          <w:sz w:val="32"/>
        </w:rPr>
        <w:t>推出“期权入市手册”</w:t>
      </w:r>
      <w:r w:rsidR="0032412C">
        <w:rPr>
          <w:rFonts w:ascii="仿宋" w:eastAsia="仿宋" w:hAnsi="仿宋" w:hint="eastAsia"/>
          <w:sz w:val="32"/>
        </w:rPr>
        <w:t>系列连载文章。今天是第1期，让我们一起了解期权的基本概念吧！</w:t>
      </w:r>
    </w:p>
    <w:p w:rsidR="0032412C" w:rsidRDefault="0032412C" w:rsidP="00BF607F">
      <w:pPr>
        <w:spacing w:line="560" w:lineRule="exact"/>
        <w:rPr>
          <w:rFonts w:ascii="仿宋" w:eastAsia="仿宋" w:hAnsi="仿宋"/>
          <w:sz w:val="32"/>
        </w:rPr>
      </w:pPr>
    </w:p>
    <w:p w:rsidR="00273878" w:rsidRPr="00273878" w:rsidRDefault="00273878" w:rsidP="00273878">
      <w:pPr>
        <w:numPr>
          <w:ilvl w:val="0"/>
          <w:numId w:val="1"/>
        </w:numPr>
        <w:spacing w:line="560" w:lineRule="exact"/>
        <w:ind w:left="0" w:firstLineChars="200" w:firstLine="643"/>
        <w:rPr>
          <w:rFonts w:ascii="仿宋" w:eastAsia="仿宋" w:hAnsi="仿宋"/>
          <w:b/>
          <w:bCs/>
          <w:sz w:val="32"/>
        </w:rPr>
      </w:pPr>
      <w:bookmarkStart w:id="0" w:name="_Toc110967951"/>
      <w:r w:rsidRPr="00273878">
        <w:rPr>
          <w:rFonts w:ascii="仿宋" w:eastAsia="仿宋" w:hAnsi="仿宋" w:hint="eastAsia"/>
          <w:b/>
          <w:bCs/>
          <w:sz w:val="32"/>
        </w:rPr>
        <w:t>什么是期权？</w:t>
      </w:r>
      <w:bookmarkEnd w:id="0"/>
    </w:p>
    <w:p w:rsid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期权是一种合约，该合约赋予期权买方在约定时间以约定价格买入或卖出特定资产的权利。</w:t>
      </w:r>
    </w:p>
    <w:p w:rsidR="00273878" w:rsidRPr="00273878" w:rsidRDefault="00273878" w:rsidP="00273878">
      <w:pPr>
        <w:spacing w:line="560" w:lineRule="exact"/>
        <w:ind w:firstLineChars="200" w:firstLine="640"/>
        <w:rPr>
          <w:rFonts w:ascii="仿宋" w:eastAsia="仿宋" w:hAnsi="仿宋"/>
          <w:sz w:val="32"/>
        </w:rPr>
      </w:pPr>
    </w:p>
    <w:p w:rsidR="00273878" w:rsidRPr="00273878" w:rsidRDefault="00273878" w:rsidP="00273878">
      <w:pPr>
        <w:numPr>
          <w:ilvl w:val="0"/>
          <w:numId w:val="1"/>
        </w:numPr>
        <w:spacing w:line="560" w:lineRule="exact"/>
        <w:ind w:left="0" w:firstLineChars="200" w:firstLine="643"/>
        <w:rPr>
          <w:rFonts w:ascii="仿宋" w:eastAsia="仿宋" w:hAnsi="仿宋"/>
          <w:b/>
          <w:bCs/>
          <w:sz w:val="32"/>
        </w:rPr>
      </w:pPr>
      <w:bookmarkStart w:id="1" w:name="_Toc82449634"/>
      <w:bookmarkStart w:id="2" w:name="_Toc110967952"/>
      <w:bookmarkEnd w:id="1"/>
      <w:r w:rsidRPr="00273878">
        <w:rPr>
          <w:rFonts w:ascii="仿宋" w:eastAsia="仿宋" w:hAnsi="仿宋" w:hint="eastAsia"/>
          <w:b/>
          <w:bCs/>
          <w:sz w:val="32"/>
        </w:rPr>
        <w:t>什么是期权的买方和卖方？</w:t>
      </w:r>
      <w:bookmarkEnd w:id="2"/>
    </w:p>
    <w:p w:rsidR="00273878" w:rsidRP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期权合约交易涉及买方和卖方两方。</w:t>
      </w:r>
    </w:p>
    <w:p w:rsidR="00273878" w:rsidRP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期权买方</w:t>
      </w:r>
      <w:r w:rsidRPr="00273878">
        <w:rPr>
          <w:rFonts w:ascii="仿宋" w:eastAsia="仿宋" w:hAnsi="仿宋" w:hint="eastAsia"/>
          <w:sz w:val="32"/>
        </w:rPr>
        <w:t>即为买入期权的一方，也称权利方，其持仓被称为权利仓。期权买方向期权卖方支付一定数额的权利金后，即拥有在事先约定的时间、按事先约定的价格向期权卖方买入或卖出约定数量的期权标的（期权合约规定的特定标的物的简称，如ETF、股票等）的权利，期权买方可以在对自己有利时执行该权利，在不利时放弃执行，即期权买方没有必</w:t>
      </w:r>
      <w:r w:rsidRPr="00273878">
        <w:rPr>
          <w:rFonts w:ascii="仿宋" w:eastAsia="仿宋" w:hAnsi="仿宋" w:hint="eastAsia"/>
          <w:sz w:val="32"/>
        </w:rPr>
        <w:lastRenderedPageBreak/>
        <w:t>须买进或卖出的义务。</w:t>
      </w:r>
    </w:p>
    <w:p w:rsid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期权卖方</w:t>
      </w:r>
      <w:r w:rsidRPr="00273878">
        <w:rPr>
          <w:rFonts w:ascii="仿宋" w:eastAsia="仿宋" w:hAnsi="仿宋" w:hint="eastAsia"/>
          <w:sz w:val="32"/>
        </w:rPr>
        <w:t>即为卖出期权的一方，也称义务方，其持仓被称为义务仓。期权卖方会向期权买方收取权利金，并有义务在事先约定的时间、应期权买方的要求，按事先约定的价格向期权买方卖出或买入约定数量的期权标的。</w:t>
      </w:r>
    </w:p>
    <w:p w:rsidR="00273878" w:rsidRPr="00273878" w:rsidRDefault="00273878" w:rsidP="00273878">
      <w:pPr>
        <w:spacing w:line="560" w:lineRule="exact"/>
        <w:ind w:firstLineChars="200" w:firstLine="640"/>
        <w:rPr>
          <w:rFonts w:ascii="仿宋" w:eastAsia="仿宋" w:hAnsi="仿宋"/>
          <w:sz w:val="32"/>
        </w:rPr>
      </w:pPr>
    </w:p>
    <w:p w:rsidR="00273878" w:rsidRPr="00273878" w:rsidRDefault="00273878" w:rsidP="00273878">
      <w:pPr>
        <w:numPr>
          <w:ilvl w:val="0"/>
          <w:numId w:val="1"/>
        </w:numPr>
        <w:spacing w:line="560" w:lineRule="exact"/>
        <w:ind w:left="0" w:firstLineChars="200" w:firstLine="643"/>
        <w:rPr>
          <w:rFonts w:ascii="仿宋" w:eastAsia="仿宋" w:hAnsi="仿宋"/>
          <w:b/>
          <w:bCs/>
          <w:sz w:val="32"/>
        </w:rPr>
      </w:pPr>
      <w:bookmarkStart w:id="3" w:name="_Toc82449636"/>
      <w:bookmarkStart w:id="4" w:name="_Toc82449637"/>
      <w:bookmarkStart w:id="5" w:name="_Toc82449638"/>
      <w:bookmarkStart w:id="6" w:name="_Toc82449639"/>
      <w:bookmarkStart w:id="7" w:name="_Toc110967953"/>
      <w:bookmarkEnd w:id="3"/>
      <w:bookmarkEnd w:id="4"/>
      <w:bookmarkEnd w:id="5"/>
      <w:bookmarkEnd w:id="6"/>
      <w:r w:rsidRPr="00273878">
        <w:rPr>
          <w:rFonts w:ascii="仿宋" w:eastAsia="仿宋" w:hAnsi="仿宋" w:hint="eastAsia"/>
          <w:b/>
          <w:bCs/>
          <w:sz w:val="32"/>
        </w:rPr>
        <w:t>什么是期权的开仓和平仓？</w:t>
      </w:r>
      <w:bookmarkEnd w:id="7"/>
    </w:p>
    <w:p w:rsid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期权交易分为开仓和平仓。</w:t>
      </w:r>
    </w:p>
    <w:p w:rsid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期权开仓</w:t>
      </w:r>
      <w:r w:rsidRPr="00273878">
        <w:rPr>
          <w:rFonts w:ascii="仿宋" w:eastAsia="仿宋" w:hAnsi="仿宋" w:hint="eastAsia"/>
          <w:sz w:val="32"/>
        </w:rPr>
        <w:t>是指投资者通过买入或卖出期权建立</w:t>
      </w:r>
      <w:proofErr w:type="gramStart"/>
      <w:r w:rsidRPr="00273878">
        <w:rPr>
          <w:rFonts w:ascii="仿宋" w:eastAsia="仿宋" w:hAnsi="仿宋" w:hint="eastAsia"/>
          <w:sz w:val="32"/>
        </w:rPr>
        <w:t>仓位</w:t>
      </w:r>
      <w:proofErr w:type="gramEnd"/>
      <w:r w:rsidRPr="00273878">
        <w:rPr>
          <w:rFonts w:ascii="仿宋" w:eastAsia="仿宋" w:hAnsi="仿宋" w:hint="eastAsia"/>
          <w:sz w:val="32"/>
        </w:rPr>
        <w:t>。</w:t>
      </w:r>
    </w:p>
    <w:p w:rsid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期权平仓</w:t>
      </w:r>
      <w:r w:rsidRPr="00273878">
        <w:rPr>
          <w:rFonts w:ascii="仿宋" w:eastAsia="仿宋" w:hAnsi="仿宋" w:hint="eastAsia"/>
          <w:sz w:val="32"/>
        </w:rPr>
        <w:t>是指对已持有的期权</w:t>
      </w:r>
      <w:proofErr w:type="gramStart"/>
      <w:r w:rsidRPr="00273878">
        <w:rPr>
          <w:rFonts w:ascii="仿宋" w:eastAsia="仿宋" w:hAnsi="仿宋" w:hint="eastAsia"/>
          <w:sz w:val="32"/>
        </w:rPr>
        <w:t>仓位</w:t>
      </w:r>
      <w:proofErr w:type="gramEnd"/>
      <w:r w:rsidRPr="00273878">
        <w:rPr>
          <w:rFonts w:ascii="仿宋" w:eastAsia="仿宋" w:hAnsi="仿宋" w:hint="eastAsia"/>
          <w:sz w:val="32"/>
        </w:rPr>
        <w:t>进行反向操作，</w:t>
      </w:r>
      <w:proofErr w:type="gramStart"/>
      <w:r w:rsidRPr="00273878">
        <w:rPr>
          <w:rFonts w:ascii="仿宋" w:eastAsia="仿宋" w:hAnsi="仿宋" w:hint="eastAsia"/>
          <w:sz w:val="32"/>
        </w:rPr>
        <w:t>即权利</w:t>
      </w:r>
      <w:proofErr w:type="gramEnd"/>
      <w:r w:rsidRPr="00273878">
        <w:rPr>
          <w:rFonts w:ascii="仿宋" w:eastAsia="仿宋" w:hAnsi="仿宋" w:hint="eastAsia"/>
          <w:sz w:val="32"/>
        </w:rPr>
        <w:t>方卖出持有的期权合约，义务方买回先前卖出的期权合约。平仓后投资者若不再持有任何</w:t>
      </w:r>
      <w:proofErr w:type="gramStart"/>
      <w:r w:rsidRPr="00273878">
        <w:rPr>
          <w:rFonts w:ascii="仿宋" w:eastAsia="仿宋" w:hAnsi="仿宋" w:hint="eastAsia"/>
          <w:sz w:val="32"/>
        </w:rPr>
        <w:t>仓位</w:t>
      </w:r>
      <w:proofErr w:type="gramEnd"/>
      <w:r w:rsidRPr="00273878">
        <w:rPr>
          <w:rFonts w:ascii="仿宋" w:eastAsia="仿宋" w:hAnsi="仿宋" w:hint="eastAsia"/>
          <w:sz w:val="32"/>
        </w:rPr>
        <w:t>，也就不再有任何权利和义务。</w:t>
      </w:r>
    </w:p>
    <w:p w:rsidR="00273878" w:rsidRPr="00273878" w:rsidRDefault="00273878" w:rsidP="00273878">
      <w:pPr>
        <w:spacing w:line="560" w:lineRule="exact"/>
        <w:ind w:firstLineChars="200" w:firstLine="640"/>
        <w:rPr>
          <w:rFonts w:ascii="仿宋" w:eastAsia="仿宋" w:hAnsi="仿宋"/>
          <w:sz w:val="32"/>
        </w:rPr>
      </w:pPr>
    </w:p>
    <w:p w:rsidR="00273878" w:rsidRPr="00273878" w:rsidRDefault="00273878" w:rsidP="00273878">
      <w:pPr>
        <w:numPr>
          <w:ilvl w:val="0"/>
          <w:numId w:val="1"/>
        </w:numPr>
        <w:spacing w:line="560" w:lineRule="exact"/>
        <w:ind w:left="0" w:firstLineChars="200" w:firstLine="643"/>
        <w:rPr>
          <w:rFonts w:ascii="仿宋" w:eastAsia="仿宋" w:hAnsi="仿宋"/>
          <w:b/>
          <w:bCs/>
          <w:sz w:val="32"/>
        </w:rPr>
      </w:pPr>
      <w:bookmarkStart w:id="8" w:name="_Toc110967954"/>
      <w:r w:rsidRPr="00273878">
        <w:rPr>
          <w:rFonts w:ascii="仿宋" w:eastAsia="仿宋" w:hAnsi="仿宋" w:hint="eastAsia"/>
          <w:b/>
          <w:bCs/>
          <w:sz w:val="32"/>
        </w:rPr>
        <w:t>什么是认购期权和认沽期权？</w:t>
      </w:r>
      <w:bookmarkEnd w:id="8"/>
    </w:p>
    <w:p w:rsidR="00273878" w:rsidRP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按照期权约定的交易方向，期权可以分为认购</w:t>
      </w:r>
      <w:proofErr w:type="gramStart"/>
      <w:r w:rsidRPr="00273878">
        <w:rPr>
          <w:rFonts w:ascii="仿宋" w:eastAsia="仿宋" w:hAnsi="仿宋" w:hint="eastAsia"/>
          <w:sz w:val="32"/>
        </w:rPr>
        <w:t>期权与认沽</w:t>
      </w:r>
      <w:proofErr w:type="gramEnd"/>
      <w:r w:rsidRPr="00273878">
        <w:rPr>
          <w:rFonts w:ascii="仿宋" w:eastAsia="仿宋" w:hAnsi="仿宋" w:hint="eastAsia"/>
          <w:sz w:val="32"/>
        </w:rPr>
        <w:t>期权。</w:t>
      </w:r>
    </w:p>
    <w:p w:rsidR="00273878" w:rsidRP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认购期权</w:t>
      </w:r>
      <w:r w:rsidRPr="00273878">
        <w:rPr>
          <w:rFonts w:ascii="仿宋" w:eastAsia="仿宋" w:hAnsi="仿宋" w:hint="eastAsia"/>
          <w:sz w:val="32"/>
        </w:rPr>
        <w:t>是指期权买方有权在约定时间按约定价格向期权卖方买入约定数量期权标的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期权。认购期权买方付出权利金，拥有买入期权标的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权利；认购期权卖方获得权利金，需承担应期权买方的要求卖出期权标的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义务。</w:t>
      </w:r>
    </w:p>
    <w:p w:rsid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认沽期权</w:t>
      </w:r>
      <w:r w:rsidRPr="00273878">
        <w:rPr>
          <w:rFonts w:ascii="仿宋" w:eastAsia="仿宋" w:hAnsi="仿宋" w:hint="eastAsia"/>
          <w:sz w:val="32"/>
        </w:rPr>
        <w:t>是指期权买方有权在约定时间按约定价格向期权卖方卖出约定数量特定标的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期权。认沽期权买方付出权利金，拥有卖出期权标的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权利；认沽期权卖方获得权利</w:t>
      </w:r>
      <w:r w:rsidRPr="00273878">
        <w:rPr>
          <w:rFonts w:ascii="仿宋" w:eastAsia="仿宋" w:hAnsi="仿宋" w:hint="eastAsia"/>
          <w:sz w:val="32"/>
        </w:rPr>
        <w:lastRenderedPageBreak/>
        <w:t>金，需承担应期权买方的要求买入期权标的</w:t>
      </w:r>
      <w:proofErr w:type="gramStart"/>
      <w:r w:rsidRPr="00273878">
        <w:rPr>
          <w:rFonts w:ascii="仿宋" w:eastAsia="仿宋" w:hAnsi="仿宋" w:hint="eastAsia"/>
          <w:sz w:val="32"/>
        </w:rPr>
        <w:t>的</w:t>
      </w:r>
      <w:proofErr w:type="gramEnd"/>
      <w:r w:rsidRPr="00273878">
        <w:rPr>
          <w:rFonts w:ascii="仿宋" w:eastAsia="仿宋" w:hAnsi="仿宋" w:hint="eastAsia"/>
          <w:sz w:val="32"/>
        </w:rPr>
        <w:t>义务。</w:t>
      </w:r>
    </w:p>
    <w:p w:rsidR="00273878" w:rsidRPr="00273878" w:rsidRDefault="00273878" w:rsidP="00273878">
      <w:pPr>
        <w:spacing w:line="560" w:lineRule="exact"/>
        <w:ind w:firstLineChars="200" w:firstLine="640"/>
        <w:rPr>
          <w:rFonts w:ascii="仿宋" w:eastAsia="仿宋" w:hAnsi="仿宋"/>
          <w:sz w:val="32"/>
        </w:rPr>
      </w:pPr>
    </w:p>
    <w:p w:rsidR="00273878" w:rsidRPr="00273878" w:rsidRDefault="00273878" w:rsidP="00273878">
      <w:pPr>
        <w:numPr>
          <w:ilvl w:val="0"/>
          <w:numId w:val="1"/>
        </w:numPr>
        <w:spacing w:line="560" w:lineRule="exact"/>
        <w:ind w:left="0" w:firstLineChars="200" w:firstLine="643"/>
        <w:rPr>
          <w:rFonts w:ascii="仿宋" w:eastAsia="仿宋" w:hAnsi="仿宋"/>
          <w:b/>
          <w:bCs/>
          <w:sz w:val="32"/>
        </w:rPr>
      </w:pPr>
      <w:bookmarkStart w:id="9" w:name="_Toc110967955"/>
      <w:r w:rsidRPr="00273878">
        <w:rPr>
          <w:rFonts w:ascii="仿宋" w:eastAsia="仿宋" w:hAnsi="仿宋" w:hint="eastAsia"/>
          <w:b/>
          <w:bCs/>
          <w:sz w:val="32"/>
        </w:rPr>
        <w:t>什么是欧式期权和美式期权？</w:t>
      </w:r>
      <w:bookmarkEnd w:id="9"/>
      <w:r w:rsidRPr="00273878">
        <w:rPr>
          <w:rFonts w:ascii="仿宋" w:eastAsia="仿宋" w:hAnsi="仿宋"/>
          <w:b/>
          <w:bCs/>
          <w:sz w:val="32"/>
        </w:rPr>
        <w:t xml:space="preserve"> </w:t>
      </w:r>
    </w:p>
    <w:p w:rsidR="00273878" w:rsidRP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按照期权约定的行权时间，期权可以分为欧式期权与美式期权。</w:t>
      </w:r>
    </w:p>
    <w:p w:rsidR="00273878" w:rsidRP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欧式期权</w:t>
      </w:r>
      <w:r w:rsidRPr="00273878">
        <w:rPr>
          <w:rFonts w:ascii="仿宋" w:eastAsia="仿宋" w:hAnsi="仿宋" w:hint="eastAsia"/>
          <w:sz w:val="32"/>
        </w:rPr>
        <w:t>是指期权买方只能在期权到期日行使权利的期权。</w:t>
      </w:r>
    </w:p>
    <w:p w:rsidR="00273878" w:rsidRPr="00273878" w:rsidRDefault="00273878" w:rsidP="00273878">
      <w:pPr>
        <w:spacing w:line="560" w:lineRule="exact"/>
        <w:ind w:firstLineChars="200" w:firstLine="643"/>
        <w:rPr>
          <w:rFonts w:ascii="仿宋" w:eastAsia="仿宋" w:hAnsi="仿宋"/>
          <w:sz w:val="32"/>
        </w:rPr>
      </w:pPr>
      <w:r w:rsidRPr="00273878">
        <w:rPr>
          <w:rFonts w:ascii="仿宋" w:eastAsia="仿宋" w:hAnsi="仿宋" w:hint="eastAsia"/>
          <w:b/>
          <w:sz w:val="32"/>
        </w:rPr>
        <w:t>美式期权</w:t>
      </w:r>
      <w:r w:rsidRPr="00273878">
        <w:rPr>
          <w:rFonts w:ascii="仿宋" w:eastAsia="仿宋" w:hAnsi="仿宋" w:hint="eastAsia"/>
          <w:sz w:val="32"/>
        </w:rPr>
        <w:t>是指期权买方可以在期权到期之前的任一交易日行使权利的期权。</w:t>
      </w:r>
    </w:p>
    <w:p w:rsidR="00273878" w:rsidRPr="00273878" w:rsidRDefault="00273878" w:rsidP="00273878">
      <w:pPr>
        <w:spacing w:line="560" w:lineRule="exact"/>
        <w:ind w:firstLineChars="200" w:firstLine="640"/>
        <w:rPr>
          <w:rFonts w:ascii="仿宋" w:eastAsia="仿宋" w:hAnsi="仿宋"/>
          <w:sz w:val="32"/>
        </w:rPr>
      </w:pPr>
      <w:r w:rsidRPr="00273878">
        <w:rPr>
          <w:rFonts w:ascii="仿宋" w:eastAsia="仿宋" w:hAnsi="仿宋" w:hint="eastAsia"/>
          <w:sz w:val="32"/>
        </w:rPr>
        <w:t>深交所目前上市交易的股票期权为欧式期权，即期权买方只能在到期日行权。</w:t>
      </w:r>
    </w:p>
    <w:p w:rsidR="00273878" w:rsidRDefault="00273878" w:rsidP="00BF607F">
      <w:pPr>
        <w:spacing w:line="560" w:lineRule="exact"/>
        <w:rPr>
          <w:rFonts w:ascii="仿宋" w:eastAsia="仿宋" w:hAnsi="仿宋"/>
          <w:sz w:val="32"/>
        </w:rPr>
      </w:pPr>
    </w:p>
    <w:p w:rsidR="00273878" w:rsidRDefault="00164C23" w:rsidP="00BF607F">
      <w:pPr>
        <w:spacing w:line="560" w:lineRule="exact"/>
        <w:rPr>
          <w:rFonts w:ascii="仿宋" w:eastAsia="仿宋" w:hAnsi="仿宋" w:hint="eastAsia"/>
          <w:sz w:val="32"/>
        </w:rPr>
      </w:pPr>
      <w:r>
        <w:rPr>
          <w:rFonts w:ascii="仿宋" w:eastAsia="仿宋" w:hAnsi="仿宋" w:hint="eastAsia"/>
          <w:sz w:val="32"/>
        </w:rPr>
        <w:t>（“期权入市手册”系列文章支持单位：</w:t>
      </w:r>
      <w:r>
        <w:rPr>
          <w:rFonts w:ascii="仿宋" w:eastAsia="仿宋" w:hAnsi="仿宋" w:hint="eastAsia"/>
          <w:sz w:val="32"/>
        </w:rPr>
        <w:t>广发证券、国泰君安证券、华泰证券、嘉实基金、易方达基金、招商证券、中</w:t>
      </w:r>
      <w:proofErr w:type="gramStart"/>
      <w:r>
        <w:rPr>
          <w:rFonts w:ascii="仿宋" w:eastAsia="仿宋" w:hAnsi="仿宋" w:hint="eastAsia"/>
          <w:sz w:val="32"/>
        </w:rPr>
        <w:t>信建投证券</w:t>
      </w:r>
      <w:proofErr w:type="gramEnd"/>
      <w:r>
        <w:rPr>
          <w:rFonts w:ascii="仿宋" w:eastAsia="仿宋" w:hAnsi="仿宋" w:hint="eastAsia"/>
          <w:sz w:val="32"/>
        </w:rPr>
        <w:t>（按音序排列，排名不分先后）</w:t>
      </w:r>
      <w:r>
        <w:rPr>
          <w:rFonts w:ascii="仿宋" w:eastAsia="仿宋" w:hAnsi="仿宋" w:hint="eastAsia"/>
          <w:sz w:val="32"/>
        </w:rPr>
        <w:t>）</w:t>
      </w:r>
      <w:bookmarkStart w:id="10" w:name="_GoBack"/>
      <w:bookmarkEnd w:id="10"/>
    </w:p>
    <w:p w:rsidR="00164C23" w:rsidRPr="00164C23" w:rsidRDefault="00164C23" w:rsidP="00BF607F">
      <w:pPr>
        <w:spacing w:line="560" w:lineRule="exact"/>
        <w:rPr>
          <w:rFonts w:ascii="仿宋" w:eastAsia="仿宋" w:hAnsi="仿宋"/>
          <w:sz w:val="32"/>
        </w:rPr>
      </w:pPr>
    </w:p>
    <w:p w:rsidR="00CF24AA" w:rsidRPr="00BF607F" w:rsidRDefault="00273878" w:rsidP="00BF607F">
      <w:pPr>
        <w:spacing w:line="560" w:lineRule="exact"/>
        <w:rPr>
          <w:rFonts w:ascii="仿宋" w:eastAsia="仿宋" w:hAnsi="仿宋"/>
          <w:sz w:val="32"/>
        </w:rPr>
      </w:pPr>
      <w:r w:rsidRPr="00273878">
        <w:rPr>
          <w:rFonts w:ascii="仿宋" w:eastAsia="仿宋" w:hAnsi="仿宋" w:hint="eastAsia"/>
          <w:sz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r w:rsidR="0020392E" w:rsidRPr="00BF607F">
        <w:rPr>
          <w:rFonts w:ascii="仿宋" w:eastAsia="仿宋" w:hAnsi="仿宋" w:hint="eastAsia"/>
          <w:b/>
          <w:noProof/>
          <w:sz w:val="180"/>
          <w:szCs w:val="36"/>
        </w:rPr>
        <mc:AlternateContent>
          <mc:Choice Requires="wps">
            <w:drawing>
              <wp:anchor distT="0" distB="0" distL="114300" distR="114300" simplePos="0" relativeHeight="251659264" behindDoc="0" locked="1" layoutInCell="0" allowOverlap="1" wp14:anchorId="0D4D5131" wp14:editId="6A307C05">
                <wp:simplePos x="0" y="0"/>
                <wp:positionH relativeFrom="margin">
                  <wp:align>right</wp:align>
                </wp:positionH>
                <wp:positionV relativeFrom="topMargin">
                  <wp:align>bottom</wp:align>
                </wp:positionV>
                <wp:extent cx="1410970" cy="244475"/>
                <wp:effectExtent l="0" t="0" r="1778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headEnd/>
                          <a:tailEnd/>
                        </a:ln>
                      </wps:spPr>
                      <wps:txbx>
                        <w:txbxContent>
                          <w:p w:rsidR="0020392E" w:rsidRPr="00B80A37" w:rsidRDefault="0020392E" w:rsidP="0020392E">
                            <w:pPr>
                              <w:spacing w:line="240" w:lineRule="exact"/>
                              <w:jc w:val="center"/>
                              <w:rPr>
                                <w:rFonts w:ascii="宋体" w:hAnsi="宋体"/>
                                <w:b/>
                                <w:color w:val="FF0000"/>
                                <w:szCs w:val="21"/>
                              </w:rPr>
                            </w:pPr>
                            <w:r w:rsidRPr="00B80A37">
                              <w:rPr>
                                <w:rFonts w:ascii="宋体" w:hAnsi="宋体" w:hint="eastAsia"/>
                                <w:b/>
                                <w:color w:val="FF0000"/>
                                <w:szCs w:val="21"/>
                              </w:rPr>
                              <w:t>内部使用</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9pt;margin-top:0;width:111.1pt;height:19.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" o:allowincell="f" strokecolor="red" strokeweight="1.5pt">
                <v:fill opacity="49087f"/>
                <v:textbox style="mso-fit-shape-to-text:t" inset="1mm,1mm,1mm,1mm">
                  <w:txbxContent>
                    <w:p w:rsidR="0020392E" w:rsidRPr="00B80A37" w:rsidRDefault="0020392E" w:rsidP="0020392E">
                      <w:pPr>
                        <w:spacing w:line="240" w:lineRule="exact"/>
                        <w:jc w:val="center"/>
                        <w:rPr>
                          <w:rFonts w:ascii="宋体" w:hAnsi="宋体"/>
                          <w:b/>
                          <w:color w:val="FF0000"/>
                          <w:szCs w:val="21"/>
                        </w:rPr>
                      </w:pPr>
                      <w:r w:rsidRPr="00B80A37">
                        <w:rPr>
                          <w:rFonts w:ascii="宋体" w:hAnsi="宋体" w:hint="eastAsia"/>
                          <w:b/>
                          <w:color w:val="FF0000"/>
                          <w:szCs w:val="21"/>
                        </w:rPr>
                        <w:t>内部使用</w:t>
                      </w:r>
                    </w:p>
                  </w:txbxContent>
                </v:textbox>
                <w10:wrap anchorx="margin" anchory="margin"/>
                <w10:anchorlock/>
              </v:shape>
            </w:pict>
          </mc:Fallback>
        </mc:AlternateContent>
      </w:r>
    </w:p>
    <w:sectPr w:rsidR="00CF24AA" w:rsidRPr="00BF6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21954"/>
    <w:multiLevelType w:val="hybridMultilevel"/>
    <w:tmpl w:val="F3FE0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F"/>
    <w:rsid w:val="00164C23"/>
    <w:rsid w:val="0020392E"/>
    <w:rsid w:val="0022348E"/>
    <w:rsid w:val="00273878"/>
    <w:rsid w:val="0032412C"/>
    <w:rsid w:val="00BF607F"/>
    <w:rsid w:val="00C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348E"/>
    <w:rPr>
      <w:sz w:val="21"/>
      <w:szCs w:val="21"/>
    </w:rPr>
  </w:style>
  <w:style w:type="paragraph" w:styleId="a4">
    <w:name w:val="annotation text"/>
    <w:basedOn w:val="a"/>
    <w:link w:val="Char"/>
    <w:uiPriority w:val="99"/>
    <w:semiHidden/>
    <w:unhideWhenUsed/>
    <w:rsid w:val="0022348E"/>
    <w:pPr>
      <w:jc w:val="left"/>
    </w:pPr>
  </w:style>
  <w:style w:type="character" w:customStyle="1" w:styleId="Char">
    <w:name w:val="批注文字 Char"/>
    <w:basedOn w:val="a0"/>
    <w:link w:val="a4"/>
    <w:uiPriority w:val="99"/>
    <w:semiHidden/>
    <w:rsid w:val="0022348E"/>
  </w:style>
  <w:style w:type="paragraph" w:styleId="a5">
    <w:name w:val="annotation subject"/>
    <w:basedOn w:val="a4"/>
    <w:next w:val="a4"/>
    <w:link w:val="Char0"/>
    <w:uiPriority w:val="99"/>
    <w:semiHidden/>
    <w:unhideWhenUsed/>
    <w:rsid w:val="0022348E"/>
    <w:rPr>
      <w:b/>
      <w:bCs/>
    </w:rPr>
  </w:style>
  <w:style w:type="character" w:customStyle="1" w:styleId="Char0">
    <w:name w:val="批注主题 Char"/>
    <w:basedOn w:val="Char"/>
    <w:link w:val="a5"/>
    <w:uiPriority w:val="99"/>
    <w:semiHidden/>
    <w:rsid w:val="0022348E"/>
    <w:rPr>
      <w:b/>
      <w:bCs/>
    </w:rPr>
  </w:style>
  <w:style w:type="paragraph" w:styleId="a6">
    <w:name w:val="Balloon Text"/>
    <w:basedOn w:val="a"/>
    <w:link w:val="Char1"/>
    <w:uiPriority w:val="99"/>
    <w:semiHidden/>
    <w:unhideWhenUsed/>
    <w:rsid w:val="0022348E"/>
    <w:rPr>
      <w:sz w:val="18"/>
      <w:szCs w:val="18"/>
    </w:rPr>
  </w:style>
  <w:style w:type="character" w:customStyle="1" w:styleId="Char1">
    <w:name w:val="批注框文本 Char"/>
    <w:basedOn w:val="a0"/>
    <w:link w:val="a6"/>
    <w:uiPriority w:val="99"/>
    <w:semiHidden/>
    <w:rsid w:val="002234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348E"/>
    <w:rPr>
      <w:sz w:val="21"/>
      <w:szCs w:val="21"/>
    </w:rPr>
  </w:style>
  <w:style w:type="paragraph" w:styleId="a4">
    <w:name w:val="annotation text"/>
    <w:basedOn w:val="a"/>
    <w:link w:val="Char"/>
    <w:uiPriority w:val="99"/>
    <w:semiHidden/>
    <w:unhideWhenUsed/>
    <w:rsid w:val="0022348E"/>
    <w:pPr>
      <w:jc w:val="left"/>
    </w:pPr>
  </w:style>
  <w:style w:type="character" w:customStyle="1" w:styleId="Char">
    <w:name w:val="批注文字 Char"/>
    <w:basedOn w:val="a0"/>
    <w:link w:val="a4"/>
    <w:uiPriority w:val="99"/>
    <w:semiHidden/>
    <w:rsid w:val="0022348E"/>
  </w:style>
  <w:style w:type="paragraph" w:styleId="a5">
    <w:name w:val="annotation subject"/>
    <w:basedOn w:val="a4"/>
    <w:next w:val="a4"/>
    <w:link w:val="Char0"/>
    <w:uiPriority w:val="99"/>
    <w:semiHidden/>
    <w:unhideWhenUsed/>
    <w:rsid w:val="0022348E"/>
    <w:rPr>
      <w:b/>
      <w:bCs/>
    </w:rPr>
  </w:style>
  <w:style w:type="character" w:customStyle="1" w:styleId="Char0">
    <w:name w:val="批注主题 Char"/>
    <w:basedOn w:val="Char"/>
    <w:link w:val="a5"/>
    <w:uiPriority w:val="99"/>
    <w:semiHidden/>
    <w:rsid w:val="0022348E"/>
    <w:rPr>
      <w:b/>
      <w:bCs/>
    </w:rPr>
  </w:style>
  <w:style w:type="paragraph" w:styleId="a6">
    <w:name w:val="Balloon Text"/>
    <w:basedOn w:val="a"/>
    <w:link w:val="Char1"/>
    <w:uiPriority w:val="99"/>
    <w:semiHidden/>
    <w:unhideWhenUsed/>
    <w:rsid w:val="0022348E"/>
    <w:rPr>
      <w:sz w:val="18"/>
      <w:szCs w:val="18"/>
    </w:rPr>
  </w:style>
  <w:style w:type="character" w:customStyle="1" w:styleId="Char1">
    <w:name w:val="批注框文本 Char"/>
    <w:basedOn w:val="a0"/>
    <w:link w:val="a6"/>
    <w:uiPriority w:val="99"/>
    <w:semiHidden/>
    <w:rsid w:val="002234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3</cp:revision>
  <dcterms:created xsi:type="dcterms:W3CDTF">2022-09-20T10:27:00Z</dcterms:created>
  <dcterms:modified xsi:type="dcterms:W3CDTF">2022-09-23T09:11:00Z</dcterms:modified>
</cp:coreProperties>
</file>