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98" w:rsidRDefault="00F05D98"/>
    <w:p w:rsidR="00F05D98" w:rsidRDefault="00F05D98"/>
    <w:p w:rsidR="00F05D98" w:rsidRDefault="00F05D98"/>
    <w:p w:rsidR="00F05D98" w:rsidRDefault="006A1AC9">
      <w:pPr>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深市</w:t>
      </w:r>
      <w:r w:rsidR="000850D4">
        <w:rPr>
          <w:rFonts w:ascii="方正小标宋简体" w:eastAsia="方正小标宋简体" w:hAnsi="方正小标宋简体" w:hint="eastAsia"/>
          <w:sz w:val="44"/>
        </w:rPr>
        <w:t>期权入市手册（十</w:t>
      </w:r>
      <w:r w:rsidR="00EA54BE">
        <w:rPr>
          <w:rFonts w:ascii="方正小标宋简体" w:eastAsia="方正小标宋简体" w:hAnsi="方正小标宋简体" w:hint="eastAsia"/>
          <w:sz w:val="44"/>
        </w:rPr>
        <w:t>六</w:t>
      </w:r>
      <w:r w:rsidR="00995CCF">
        <w:rPr>
          <w:rFonts w:ascii="方正小标宋简体" w:eastAsia="方正小标宋简体" w:hAnsi="方正小标宋简体" w:hint="eastAsia"/>
          <w:sz w:val="44"/>
        </w:rPr>
        <w:t>）：</w:t>
      </w:r>
      <w:r w:rsidR="00995CCF">
        <w:rPr>
          <w:rFonts w:ascii="方正小标宋简体" w:eastAsia="方正小标宋简体" w:hAnsi="方正小标宋简体"/>
          <w:sz w:val="44"/>
        </w:rPr>
        <w:br/>
      </w:r>
      <w:r w:rsidR="000850D4">
        <w:rPr>
          <w:rFonts w:ascii="方正小标宋简体" w:eastAsia="方正小标宋简体" w:hAnsi="方正小标宋简体" w:hint="eastAsia"/>
          <w:sz w:val="44"/>
        </w:rPr>
        <w:t>期权交易实务</w:t>
      </w:r>
      <w:r w:rsidR="00D047F1">
        <w:rPr>
          <w:rFonts w:ascii="方正小标宋简体" w:eastAsia="方正小标宋简体" w:hAnsi="方正小标宋简体" w:hint="eastAsia"/>
          <w:sz w:val="44"/>
        </w:rPr>
        <w:t>之组合行权</w:t>
      </w:r>
      <w:r w:rsidR="0084597E">
        <w:rPr>
          <w:rFonts w:ascii="方正小标宋简体" w:eastAsia="方正小标宋简体" w:hAnsi="方正小标宋简体" w:hint="eastAsia"/>
          <w:sz w:val="44"/>
        </w:rPr>
        <w:t>及</w:t>
      </w:r>
      <w:r w:rsidR="00D047F1">
        <w:rPr>
          <w:rFonts w:ascii="方正小标宋简体" w:eastAsia="方正小标宋简体" w:hAnsi="方正小标宋简体" w:hint="eastAsia"/>
          <w:sz w:val="44"/>
        </w:rPr>
        <w:t>组合策略保证金</w:t>
      </w:r>
      <w:r w:rsidR="0084597E">
        <w:rPr>
          <w:rFonts w:ascii="方正小标宋简体" w:eastAsia="方正小标宋简体" w:hAnsi="方正小标宋简体" w:hint="eastAsia"/>
          <w:sz w:val="44"/>
        </w:rPr>
        <w:t>的使用</w:t>
      </w:r>
    </w:p>
    <w:p w:rsidR="00F05D98" w:rsidRPr="000850D4" w:rsidRDefault="00F05D98"/>
    <w:p w:rsidR="00F05D98" w:rsidRDefault="00F05D98"/>
    <w:p w:rsidR="00F05D98" w:rsidRPr="00045881" w:rsidRDefault="00F05D98"/>
    <w:p w:rsidR="00F05D98" w:rsidRDefault="00995CCF">
      <w:pPr>
        <w:spacing w:line="560" w:lineRule="exact"/>
        <w:rPr>
          <w:rFonts w:ascii="仿宋" w:eastAsia="仿宋" w:hAnsi="仿宋"/>
          <w:sz w:val="32"/>
        </w:rPr>
      </w:pPr>
      <w:r>
        <w:rPr>
          <w:rFonts w:ascii="仿宋" w:eastAsia="仿宋" w:hAnsi="仿宋" w:hint="eastAsia"/>
          <w:sz w:val="32"/>
        </w:rPr>
        <w:t>编者按：2022年9月1</w:t>
      </w:r>
      <w:bookmarkStart w:id="0" w:name="_GoBack"/>
      <w:bookmarkEnd w:id="0"/>
      <w:r>
        <w:rPr>
          <w:rFonts w:ascii="仿宋" w:eastAsia="仿宋" w:hAnsi="仿宋" w:hint="eastAsia"/>
          <w:sz w:val="32"/>
        </w:rPr>
        <w:t>9日，深市期权新品种——创业板ETF期权（</w:t>
      </w:r>
      <w:r w:rsidR="00D61301">
        <w:rPr>
          <w:rFonts w:ascii="仿宋" w:eastAsia="仿宋" w:hAnsi="仿宋" w:hint="eastAsia"/>
          <w:sz w:val="32"/>
        </w:rPr>
        <w:t>标的为创业板ETF，代码</w:t>
      </w:r>
      <w:r>
        <w:rPr>
          <w:rFonts w:ascii="仿宋" w:eastAsia="仿宋" w:hAnsi="仿宋" w:hint="eastAsia"/>
          <w:sz w:val="32"/>
        </w:rPr>
        <w:t>159915）、中证500ETF期权（</w:t>
      </w:r>
      <w:r w:rsidR="00D61301">
        <w:rPr>
          <w:rFonts w:ascii="仿宋" w:eastAsia="仿宋" w:hAnsi="仿宋" w:hint="eastAsia"/>
          <w:sz w:val="32"/>
        </w:rPr>
        <w:t>标的为中证500ETF，代码</w:t>
      </w:r>
      <w:r>
        <w:rPr>
          <w:rFonts w:ascii="仿宋" w:eastAsia="仿宋" w:hAnsi="仿宋" w:hint="eastAsia"/>
          <w:sz w:val="32"/>
        </w:rPr>
        <w:t>159922）上市交易。为帮助投资者系统了解期权产品特征、理性参与期权交易、有效提升风险管理能力，深交所联合市场机构推出“期权入市手册”系列连载文章。今天是第</w:t>
      </w:r>
      <w:r w:rsidR="00045881">
        <w:rPr>
          <w:rFonts w:ascii="仿宋" w:eastAsia="仿宋" w:hAnsi="仿宋" w:hint="eastAsia"/>
          <w:sz w:val="32"/>
        </w:rPr>
        <w:t>1</w:t>
      </w:r>
      <w:r w:rsidR="00247FF4">
        <w:rPr>
          <w:rFonts w:ascii="仿宋" w:eastAsia="仿宋" w:hAnsi="仿宋" w:hint="eastAsia"/>
          <w:sz w:val="32"/>
        </w:rPr>
        <w:t>6</w:t>
      </w:r>
      <w:r>
        <w:rPr>
          <w:rFonts w:ascii="仿宋" w:eastAsia="仿宋" w:hAnsi="仿宋" w:hint="eastAsia"/>
          <w:sz w:val="32"/>
        </w:rPr>
        <w:t>期，让</w:t>
      </w:r>
      <w:r w:rsidR="00EC7ADB">
        <w:rPr>
          <w:rFonts w:ascii="仿宋" w:eastAsia="仿宋" w:hAnsi="仿宋" w:hint="eastAsia"/>
          <w:sz w:val="32"/>
        </w:rPr>
        <w:t>我们</w:t>
      </w:r>
      <w:r w:rsidR="00F75860">
        <w:rPr>
          <w:rFonts w:ascii="仿宋" w:eastAsia="仿宋" w:hAnsi="仿宋" w:hint="eastAsia"/>
          <w:sz w:val="32"/>
        </w:rPr>
        <w:t>了解组合行权及</w:t>
      </w:r>
      <w:r w:rsidR="00F75860" w:rsidRPr="00F75860">
        <w:rPr>
          <w:rFonts w:ascii="仿宋" w:eastAsia="仿宋" w:hAnsi="仿宋" w:hint="eastAsia"/>
          <w:sz w:val="32"/>
        </w:rPr>
        <w:t>组合策略保证金</w:t>
      </w:r>
      <w:r w:rsidR="00F75860">
        <w:rPr>
          <w:rFonts w:ascii="仿宋" w:eastAsia="仿宋" w:hAnsi="仿宋" w:hint="eastAsia"/>
          <w:sz w:val="32"/>
        </w:rPr>
        <w:t>的</w:t>
      </w:r>
      <w:r w:rsidR="0084597E">
        <w:rPr>
          <w:rFonts w:ascii="仿宋" w:eastAsia="仿宋" w:hAnsi="仿宋" w:hint="eastAsia"/>
          <w:sz w:val="32"/>
        </w:rPr>
        <w:t>使用</w:t>
      </w:r>
      <w:r w:rsidR="00F75860">
        <w:rPr>
          <w:rFonts w:ascii="仿宋" w:eastAsia="仿宋" w:hAnsi="仿宋" w:hint="eastAsia"/>
          <w:sz w:val="32"/>
        </w:rPr>
        <w:t>吧</w:t>
      </w:r>
      <w:r>
        <w:rPr>
          <w:rFonts w:ascii="仿宋" w:eastAsia="仿宋" w:hAnsi="仿宋" w:hint="eastAsia"/>
          <w:sz w:val="32"/>
        </w:rPr>
        <w:t>！</w:t>
      </w:r>
    </w:p>
    <w:p w:rsidR="00F05D98" w:rsidRPr="007B4F37" w:rsidRDefault="00F05D98">
      <w:pPr>
        <w:spacing w:line="560" w:lineRule="exact"/>
        <w:rPr>
          <w:rFonts w:ascii="仿宋" w:eastAsia="仿宋" w:hAnsi="仿宋"/>
          <w:sz w:val="32"/>
        </w:rPr>
      </w:pPr>
    </w:p>
    <w:p w:rsidR="00247FF4" w:rsidRPr="00247FF4" w:rsidRDefault="00247FF4" w:rsidP="00247FF4">
      <w:pPr>
        <w:keepNext/>
        <w:keepLines/>
        <w:numPr>
          <w:ilvl w:val="0"/>
          <w:numId w:val="2"/>
        </w:numPr>
        <w:spacing w:line="560" w:lineRule="exact"/>
        <w:ind w:left="0" w:firstLineChars="200" w:firstLine="643"/>
        <w:outlineLvl w:val="2"/>
        <w:rPr>
          <w:rFonts w:ascii="仿宋" w:eastAsia="仿宋" w:hAnsi="仿宋" w:cs="Times New Roman"/>
          <w:b/>
          <w:bCs/>
          <w:sz w:val="32"/>
          <w:szCs w:val="32"/>
        </w:rPr>
      </w:pPr>
      <w:bookmarkStart w:id="1" w:name="_Toc110968019"/>
      <w:r w:rsidRPr="00247FF4">
        <w:rPr>
          <w:rFonts w:ascii="仿宋" w:eastAsia="仿宋" w:hAnsi="仿宋" w:cs="Times New Roman"/>
          <w:b/>
          <w:bCs/>
          <w:sz w:val="32"/>
          <w:szCs w:val="32"/>
        </w:rPr>
        <w:t>如何进行组合行权？</w:t>
      </w:r>
      <w:bookmarkEnd w:id="1"/>
    </w:p>
    <w:p w:rsidR="00247FF4" w:rsidRPr="00BD69F8" w:rsidRDefault="00247FF4" w:rsidP="00247FF4">
      <w:pPr>
        <w:spacing w:line="560" w:lineRule="exact"/>
        <w:ind w:firstLineChars="200" w:firstLine="643"/>
        <w:rPr>
          <w:rFonts w:ascii="仿宋" w:eastAsia="仿宋" w:hAnsi="仿宋" w:cs="Times New Roman"/>
          <w:sz w:val="32"/>
          <w:szCs w:val="32"/>
        </w:rPr>
      </w:pPr>
      <w:r w:rsidRPr="00885D33">
        <w:rPr>
          <w:rFonts w:ascii="仿宋" w:eastAsia="仿宋" w:hAnsi="仿宋" w:cs="Times New Roman" w:hint="eastAsia"/>
          <w:b/>
          <w:sz w:val="32"/>
          <w:szCs w:val="32"/>
        </w:rPr>
        <w:t>行权指令合并申报</w:t>
      </w:r>
      <w:r w:rsidRPr="00BD69F8">
        <w:rPr>
          <w:rFonts w:ascii="仿宋" w:eastAsia="仿宋" w:hAnsi="仿宋" w:cs="Times New Roman" w:hint="eastAsia"/>
          <w:sz w:val="32"/>
          <w:szCs w:val="32"/>
        </w:rPr>
        <w:t>又称为</w:t>
      </w:r>
      <w:r w:rsidRPr="00BD69F8">
        <w:rPr>
          <w:rFonts w:ascii="仿宋" w:eastAsia="仿宋" w:hAnsi="仿宋" w:cs="Times New Roman"/>
          <w:sz w:val="32"/>
          <w:szCs w:val="32"/>
        </w:rPr>
        <w:t>组合行权。投资者如持有相同标的、相同到期日、相同合约</w:t>
      </w:r>
      <w:r w:rsidRPr="00BD69F8">
        <w:rPr>
          <w:rFonts w:ascii="仿宋" w:eastAsia="仿宋" w:hAnsi="仿宋" w:cs="Times New Roman" w:hint="eastAsia"/>
          <w:sz w:val="32"/>
          <w:szCs w:val="32"/>
        </w:rPr>
        <w:t>单位</w:t>
      </w:r>
      <w:r w:rsidRPr="00BD69F8">
        <w:rPr>
          <w:rFonts w:ascii="仿宋" w:eastAsia="仿宋" w:hAnsi="仿宋" w:cs="Times New Roman"/>
          <w:sz w:val="32"/>
          <w:szCs w:val="32"/>
        </w:rPr>
        <w:t>的认购期权权利仓、认沽期权权利仓，并且认沽期权的行权价高于认购期权的行权价，可以提交组合行权委托。</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t>投资者在组合行权菜单依次选择认购期权合约、认沽期权合约、组合行权数量，点击</w:t>
      </w:r>
      <w:r>
        <w:rPr>
          <w:rFonts w:ascii="仿宋" w:eastAsia="仿宋" w:hAnsi="仿宋" w:cs="Times New Roman"/>
          <w:sz w:val="32"/>
          <w:szCs w:val="32"/>
        </w:rPr>
        <w:t>“行权”</w:t>
      </w:r>
      <w:r w:rsidRPr="00BD69F8">
        <w:rPr>
          <w:rFonts w:ascii="仿宋" w:eastAsia="仿宋" w:hAnsi="仿宋" w:cs="Times New Roman"/>
          <w:sz w:val="32"/>
          <w:szCs w:val="32"/>
        </w:rPr>
        <w:t>确认键，然后检查组合行权委托是否提交成功。</w:t>
      </w:r>
    </w:p>
    <w:p w:rsidR="00247FF4" w:rsidRPr="00BD69F8" w:rsidRDefault="00247FF4" w:rsidP="00247FF4">
      <w:pPr>
        <w:jc w:val="center"/>
        <w:rPr>
          <w:rFonts w:ascii="仿宋" w:eastAsia="仿宋" w:hAnsi="仿宋" w:cs="Times New Roman"/>
          <w:noProof/>
          <w:sz w:val="32"/>
          <w:szCs w:val="32"/>
        </w:rPr>
      </w:pPr>
      <w:r w:rsidRPr="00BD69F8">
        <w:rPr>
          <w:rFonts w:ascii="仿宋" w:eastAsia="仿宋" w:hAnsi="仿宋" w:cs="Times New Roman"/>
          <w:noProof/>
          <w:sz w:val="32"/>
          <w:szCs w:val="32"/>
        </w:rPr>
        <w:lastRenderedPageBreak/>
        <w:drawing>
          <wp:inline distT="0" distB="0" distL="0" distR="0">
            <wp:extent cx="5475228" cy="1444979"/>
            <wp:effectExtent l="0" t="0" r="0" b="3175"/>
            <wp:docPr id="52" name="图片 52" descr="d:\010514\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514\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4855" cy="1452798"/>
                    </a:xfrm>
                    <a:prstGeom prst="rect">
                      <a:avLst/>
                    </a:prstGeom>
                    <a:noFill/>
                    <a:ln>
                      <a:noFill/>
                    </a:ln>
                  </pic:spPr>
                </pic:pic>
              </a:graphicData>
            </a:graphic>
          </wp:inline>
        </w:drawing>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t>如果</w:t>
      </w:r>
      <w:r w:rsidRPr="00BD69F8">
        <w:rPr>
          <w:rFonts w:ascii="仿宋" w:eastAsia="仿宋" w:hAnsi="仿宋" w:cs="Times New Roman" w:hint="eastAsia"/>
          <w:sz w:val="32"/>
          <w:szCs w:val="32"/>
        </w:rPr>
        <w:t>未</w:t>
      </w:r>
      <w:r w:rsidRPr="00BD69F8">
        <w:rPr>
          <w:rFonts w:ascii="仿宋" w:eastAsia="仿宋" w:hAnsi="仿宋" w:cs="Times New Roman"/>
          <w:sz w:val="32"/>
          <w:szCs w:val="32"/>
        </w:rPr>
        <w:t>组合行权，投资者需分别准备好足额的行权资金与证券，方可成功提交认购期权行权委托、认沽期权行权委托。</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t>进行组合行权，投资者无需准备资金与证券即可提交组合行权委托，然后在</w:t>
      </w:r>
      <w:r>
        <w:rPr>
          <w:rFonts w:ascii="仿宋" w:eastAsia="仿宋" w:hAnsi="仿宋" w:cs="Times New Roman" w:hint="eastAsia"/>
          <w:sz w:val="32"/>
          <w:szCs w:val="32"/>
        </w:rPr>
        <w:t>行权日的</w:t>
      </w:r>
      <w:r>
        <w:rPr>
          <w:rFonts w:ascii="仿宋" w:eastAsia="仿宋" w:hAnsi="仿宋" w:cs="Times New Roman"/>
          <w:sz w:val="32"/>
          <w:szCs w:val="32"/>
        </w:rPr>
        <w:t>次一交易日</w:t>
      </w:r>
      <w:r w:rsidRPr="00BD69F8">
        <w:rPr>
          <w:rFonts w:ascii="仿宋" w:eastAsia="仿宋" w:hAnsi="仿宋" w:cs="Times New Roman"/>
          <w:sz w:val="32"/>
          <w:szCs w:val="32"/>
        </w:rPr>
        <w:t>交割时，进行现金结算。</w:t>
      </w:r>
    </w:p>
    <w:p w:rsidR="00247FF4"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t>现金结算所获资金=（认沽期权行权价-认购期权行权价）</w:t>
      </w:r>
      <w:r w:rsidRPr="00BD69F8">
        <w:rPr>
          <w:rFonts w:ascii="仿宋" w:eastAsia="仿宋" w:hAnsi="仿宋" w:cs="Times New Roman" w:hint="eastAsia"/>
          <w:sz w:val="32"/>
          <w:szCs w:val="32"/>
        </w:rPr>
        <w:t>×</w:t>
      </w:r>
      <w:r w:rsidRPr="00BD69F8">
        <w:rPr>
          <w:rFonts w:ascii="仿宋" w:eastAsia="仿宋" w:hAnsi="仿宋" w:cs="Times New Roman"/>
          <w:sz w:val="32"/>
          <w:szCs w:val="32"/>
        </w:rPr>
        <w:t>合约</w:t>
      </w:r>
      <w:r w:rsidRPr="00BD69F8">
        <w:rPr>
          <w:rFonts w:ascii="仿宋" w:eastAsia="仿宋" w:hAnsi="仿宋" w:cs="Times New Roman" w:hint="eastAsia"/>
          <w:sz w:val="32"/>
          <w:szCs w:val="32"/>
        </w:rPr>
        <w:t>单位×</w:t>
      </w:r>
      <w:r>
        <w:rPr>
          <w:rFonts w:ascii="仿宋" w:eastAsia="仿宋" w:hAnsi="仿宋" w:cs="Times New Roman"/>
          <w:sz w:val="32"/>
          <w:szCs w:val="32"/>
        </w:rPr>
        <w:t>行权组合数</w:t>
      </w:r>
      <w:r w:rsidRPr="00BD69F8">
        <w:rPr>
          <w:rFonts w:ascii="仿宋" w:eastAsia="仿宋" w:hAnsi="仿宋" w:cs="Times New Roman"/>
          <w:sz w:val="32"/>
          <w:szCs w:val="32"/>
        </w:rPr>
        <w:t>。</w:t>
      </w:r>
    </w:p>
    <w:p w:rsidR="00247FF4" w:rsidRPr="00BD69F8" w:rsidRDefault="00247FF4" w:rsidP="00247FF4">
      <w:pPr>
        <w:spacing w:line="560" w:lineRule="exact"/>
        <w:ind w:firstLineChars="200" w:firstLine="640"/>
        <w:rPr>
          <w:rFonts w:ascii="仿宋" w:eastAsia="仿宋" w:hAnsi="仿宋" w:cs="Times New Roman"/>
          <w:sz w:val="32"/>
          <w:szCs w:val="32"/>
        </w:rPr>
      </w:pPr>
    </w:p>
    <w:p w:rsidR="00247FF4" w:rsidRPr="00BD69F8" w:rsidRDefault="00247FF4" w:rsidP="00247FF4">
      <w:pPr>
        <w:keepNext/>
        <w:keepLines/>
        <w:numPr>
          <w:ilvl w:val="0"/>
          <w:numId w:val="2"/>
        </w:numPr>
        <w:spacing w:line="560" w:lineRule="exact"/>
        <w:outlineLvl w:val="2"/>
        <w:rPr>
          <w:rFonts w:ascii="仿宋" w:eastAsia="仿宋" w:hAnsi="仿宋" w:cs="Times New Roman"/>
          <w:b/>
          <w:bCs/>
          <w:sz w:val="32"/>
          <w:szCs w:val="32"/>
        </w:rPr>
      </w:pPr>
      <w:bookmarkStart w:id="2" w:name="_Toc110968020"/>
      <w:r w:rsidRPr="00BD69F8">
        <w:rPr>
          <w:rFonts w:ascii="仿宋" w:eastAsia="仿宋" w:hAnsi="仿宋" w:cs="Times New Roman"/>
          <w:b/>
          <w:bCs/>
          <w:sz w:val="32"/>
          <w:szCs w:val="32"/>
        </w:rPr>
        <w:t>什么是组合策略保证金？如何进行相应操作？</w:t>
      </w:r>
      <w:bookmarkEnd w:id="2"/>
    </w:p>
    <w:p w:rsidR="00247FF4" w:rsidRPr="00BD69F8" w:rsidRDefault="00247FF4" w:rsidP="00247FF4">
      <w:pPr>
        <w:spacing w:line="560" w:lineRule="exact"/>
        <w:ind w:firstLineChars="200" w:firstLine="643"/>
        <w:rPr>
          <w:rFonts w:ascii="仿宋" w:eastAsia="仿宋" w:hAnsi="仿宋" w:cs="Times New Roman"/>
          <w:sz w:val="32"/>
          <w:szCs w:val="32"/>
        </w:rPr>
      </w:pPr>
      <w:r w:rsidRPr="00885D33">
        <w:rPr>
          <w:rFonts w:ascii="仿宋" w:eastAsia="仿宋" w:hAnsi="仿宋" w:cs="Times New Roman" w:hint="eastAsia"/>
          <w:b/>
          <w:sz w:val="32"/>
          <w:szCs w:val="32"/>
        </w:rPr>
        <w:t>组合策略保证金</w:t>
      </w:r>
      <w:r w:rsidRPr="00BD69F8">
        <w:rPr>
          <w:rFonts w:ascii="仿宋" w:eastAsia="仿宋" w:hAnsi="仿宋" w:cs="Times New Roman" w:hint="eastAsia"/>
          <w:sz w:val="32"/>
          <w:szCs w:val="32"/>
        </w:rPr>
        <w:t>是国际上常见的期权保证金冲减机制，投资者可利用已持有的相关合约构建组合策略达到保证金冲销或减免的效果。深交所已推出组合策略保证金机制。</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t>投资者在策略保证金菜单选择期权策略</w:t>
      </w:r>
      <w:r w:rsidR="0084597E">
        <w:rPr>
          <w:rFonts w:ascii="仿宋" w:eastAsia="仿宋" w:hAnsi="仿宋" w:cs="Times New Roman" w:hint="eastAsia"/>
          <w:sz w:val="32"/>
          <w:szCs w:val="32"/>
        </w:rPr>
        <w:t>，</w:t>
      </w:r>
      <w:r w:rsidRPr="00BD69F8">
        <w:rPr>
          <w:rFonts w:ascii="仿宋" w:eastAsia="仿宋" w:hAnsi="仿宋" w:cs="Times New Roman"/>
          <w:sz w:val="32"/>
          <w:szCs w:val="32"/>
        </w:rPr>
        <w:t>构建策略的单腿合约，依次输入数量，点击确认键，交易所将会按照策略组合保留必要的保证金，释放富余的保证金，以此降低投资者风险</w:t>
      </w:r>
      <w:r>
        <w:rPr>
          <w:rFonts w:ascii="仿宋" w:eastAsia="仿宋" w:hAnsi="仿宋" w:cs="Times New Roman"/>
          <w:sz w:val="32"/>
          <w:szCs w:val="32"/>
        </w:rPr>
        <w:t>度</w:t>
      </w:r>
      <w:r w:rsidRPr="00BD69F8">
        <w:rPr>
          <w:rFonts w:ascii="仿宋" w:eastAsia="仿宋" w:hAnsi="仿宋" w:cs="Times New Roman"/>
          <w:sz w:val="32"/>
          <w:szCs w:val="32"/>
        </w:rPr>
        <w:t>、提高投资者资金利用效率。</w:t>
      </w:r>
    </w:p>
    <w:p w:rsidR="00247FF4" w:rsidRPr="00BD69F8" w:rsidRDefault="00247FF4" w:rsidP="00247FF4">
      <w:pPr>
        <w:jc w:val="center"/>
        <w:rPr>
          <w:rFonts w:ascii="仿宋" w:eastAsia="仿宋" w:hAnsi="仿宋" w:cs="Times New Roman"/>
          <w:sz w:val="32"/>
          <w:szCs w:val="32"/>
        </w:rPr>
      </w:pPr>
      <w:r w:rsidRPr="00BD69F8">
        <w:rPr>
          <w:rFonts w:ascii="仿宋" w:eastAsia="仿宋" w:hAnsi="仿宋" w:cs="Times New Roman"/>
          <w:noProof/>
          <w:sz w:val="32"/>
          <w:szCs w:val="32"/>
        </w:rPr>
        <w:lastRenderedPageBreak/>
        <w:drawing>
          <wp:inline distT="0" distB="0" distL="0" distR="0" wp14:anchorId="37902567" wp14:editId="2FF7B430">
            <wp:extent cx="3207600" cy="2120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png"/>
                    <pic:cNvPicPr/>
                  </pic:nvPicPr>
                  <pic:blipFill>
                    <a:blip r:embed="rId9">
                      <a:extLst>
                        <a:ext uri="{28A0092B-C50C-407E-A947-70E740481C1C}">
                          <a14:useLocalDpi xmlns:a14="http://schemas.microsoft.com/office/drawing/2010/main" val="0"/>
                        </a:ext>
                      </a:extLst>
                    </a:blip>
                    <a:stretch>
                      <a:fillRect/>
                    </a:stretch>
                  </pic:blipFill>
                  <pic:spPr>
                    <a:xfrm>
                      <a:off x="0" y="0"/>
                      <a:ext cx="3207600" cy="2120400"/>
                    </a:xfrm>
                    <a:prstGeom prst="rect">
                      <a:avLst/>
                    </a:prstGeom>
                  </pic:spPr>
                </pic:pic>
              </a:graphicData>
            </a:graphic>
          </wp:inline>
        </w:drawing>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hint="eastAsia"/>
          <w:sz w:val="32"/>
          <w:szCs w:val="32"/>
        </w:rPr>
        <w:t>深市</w:t>
      </w:r>
      <w:r w:rsidRPr="00BD69F8">
        <w:rPr>
          <w:rFonts w:ascii="仿宋" w:eastAsia="仿宋" w:hAnsi="仿宋" w:cs="Times New Roman"/>
          <w:sz w:val="32"/>
          <w:szCs w:val="32"/>
        </w:rPr>
        <w:t>期权组合策略保证金的</w:t>
      </w:r>
      <w:r w:rsidRPr="00BD69F8">
        <w:rPr>
          <w:rFonts w:ascii="仿宋" w:eastAsia="仿宋" w:hAnsi="仿宋" w:cs="Times New Roman" w:hint="eastAsia"/>
          <w:sz w:val="32"/>
          <w:szCs w:val="32"/>
        </w:rPr>
        <w:t>标准</w:t>
      </w:r>
      <w:r w:rsidRPr="00BD69F8">
        <w:rPr>
          <w:rFonts w:ascii="仿宋" w:eastAsia="仿宋" w:hAnsi="仿宋" w:cs="Times New Roman"/>
          <w:sz w:val="32"/>
          <w:szCs w:val="32"/>
        </w:rPr>
        <w:t>如下：</w:t>
      </w:r>
    </w:p>
    <w:p w:rsidR="00247FF4" w:rsidRPr="00BD69F8" w:rsidRDefault="00247FF4" w:rsidP="00247FF4">
      <w:pPr>
        <w:spacing w:line="560" w:lineRule="exact"/>
        <w:ind w:firstLineChars="200" w:firstLine="643"/>
        <w:rPr>
          <w:rFonts w:ascii="仿宋" w:eastAsia="仿宋" w:hAnsi="仿宋" w:cs="Times New Roman"/>
          <w:sz w:val="32"/>
          <w:szCs w:val="32"/>
        </w:rPr>
      </w:pPr>
      <w:r w:rsidRPr="00BD69F8">
        <w:rPr>
          <w:rFonts w:ascii="仿宋" w:eastAsia="仿宋" w:hAnsi="仿宋" w:cs="Times New Roman"/>
          <w:b/>
          <w:sz w:val="32"/>
          <w:szCs w:val="32"/>
        </w:rPr>
        <w:t>（1）认购牛市价差策略</w:t>
      </w:r>
      <w:r w:rsidRPr="00BD69F8">
        <w:rPr>
          <w:rFonts w:ascii="仿宋" w:eastAsia="仿宋" w:hAnsi="仿宋" w:cs="Times New Roman"/>
          <w:sz w:val="32"/>
          <w:szCs w:val="32"/>
        </w:rPr>
        <w:t>。由一个认购期权权利仓与一个相同合约标的、相同到期日、相同合约单位的认购期权义务仓组成，其中义务仓的行权价格高于权利仓的行权价格；开仓保证金和维持保证金为零。</w:t>
      </w:r>
    </w:p>
    <w:p w:rsidR="00247FF4" w:rsidRPr="00BD69F8" w:rsidRDefault="00247FF4" w:rsidP="00247FF4">
      <w:pPr>
        <w:spacing w:line="560" w:lineRule="exact"/>
        <w:ind w:firstLineChars="200" w:firstLine="643"/>
        <w:rPr>
          <w:rFonts w:ascii="仿宋" w:eastAsia="仿宋" w:hAnsi="仿宋" w:cs="Times New Roman"/>
          <w:sz w:val="32"/>
          <w:szCs w:val="32"/>
        </w:rPr>
      </w:pPr>
      <w:r w:rsidRPr="00BD69F8">
        <w:rPr>
          <w:rFonts w:ascii="仿宋" w:eastAsia="仿宋" w:hAnsi="仿宋" w:cs="Times New Roman"/>
          <w:b/>
          <w:sz w:val="32"/>
          <w:szCs w:val="32"/>
        </w:rPr>
        <w:t>（2）认购熊市价差策略</w:t>
      </w:r>
      <w:r w:rsidRPr="00BD69F8">
        <w:rPr>
          <w:rFonts w:ascii="仿宋" w:eastAsia="仿宋" w:hAnsi="仿宋" w:cs="Times New Roman"/>
          <w:sz w:val="32"/>
          <w:szCs w:val="32"/>
        </w:rPr>
        <w:t>。由一个认购期权权利仓与一个相同合约标的、相同到期日、相同合约单位的认购期权义务仓组成，其中义务仓的行权价格低于权利仓的行权价格；开仓保证金和维持保证金=（认购期权权利仓行权价格-认购期权义务仓行权价格）</w:t>
      </w:r>
      <w:r w:rsidRPr="00BD69F8">
        <w:rPr>
          <w:rFonts w:ascii="仿宋" w:eastAsia="仿宋" w:hAnsi="仿宋" w:cs="Times New Roman" w:hint="eastAsia"/>
          <w:sz w:val="32"/>
          <w:szCs w:val="32"/>
        </w:rPr>
        <w:t>×</w:t>
      </w:r>
      <w:r w:rsidRPr="00BD69F8">
        <w:rPr>
          <w:rFonts w:ascii="仿宋" w:eastAsia="仿宋" w:hAnsi="仿宋" w:cs="Times New Roman"/>
          <w:sz w:val="32"/>
          <w:szCs w:val="32"/>
        </w:rPr>
        <w:t>合约单位。</w:t>
      </w:r>
    </w:p>
    <w:p w:rsidR="00247FF4" w:rsidRPr="00BD69F8" w:rsidRDefault="00247FF4" w:rsidP="00247FF4">
      <w:pPr>
        <w:spacing w:line="560" w:lineRule="exact"/>
        <w:ind w:firstLineChars="200" w:firstLine="643"/>
        <w:rPr>
          <w:rFonts w:ascii="仿宋" w:eastAsia="仿宋" w:hAnsi="仿宋" w:cs="Times New Roman"/>
          <w:sz w:val="32"/>
          <w:szCs w:val="32"/>
        </w:rPr>
      </w:pPr>
      <w:r w:rsidRPr="00BD69F8">
        <w:rPr>
          <w:rFonts w:ascii="仿宋" w:eastAsia="仿宋" w:hAnsi="仿宋" w:cs="Times New Roman"/>
          <w:b/>
          <w:sz w:val="32"/>
          <w:szCs w:val="32"/>
        </w:rPr>
        <w:t>（3）</w:t>
      </w:r>
      <w:proofErr w:type="gramStart"/>
      <w:r w:rsidRPr="00BD69F8">
        <w:rPr>
          <w:rFonts w:ascii="仿宋" w:eastAsia="仿宋" w:hAnsi="仿宋" w:cs="Times New Roman"/>
          <w:b/>
          <w:sz w:val="32"/>
          <w:szCs w:val="32"/>
        </w:rPr>
        <w:t>认沽牛市价</w:t>
      </w:r>
      <w:proofErr w:type="gramEnd"/>
      <w:r w:rsidRPr="00BD69F8">
        <w:rPr>
          <w:rFonts w:ascii="仿宋" w:eastAsia="仿宋" w:hAnsi="仿宋" w:cs="Times New Roman"/>
          <w:b/>
          <w:sz w:val="32"/>
          <w:szCs w:val="32"/>
        </w:rPr>
        <w:t>差策略</w:t>
      </w:r>
      <w:r w:rsidRPr="00BD69F8">
        <w:rPr>
          <w:rFonts w:ascii="仿宋" w:eastAsia="仿宋" w:hAnsi="仿宋" w:cs="Times New Roman"/>
          <w:sz w:val="32"/>
          <w:szCs w:val="32"/>
        </w:rPr>
        <w:t>。由一个认沽期权权利仓与一个相同合约标的、相同到期日、相同合约单位的认沽期权义务仓组成，其中义务仓的行权价格高于权利仓的行权价格；开仓保证金和维持保证金=（认沽期权义务仓行权价格-认沽期权权利仓行权价格）</w:t>
      </w:r>
      <w:r w:rsidRPr="00BD69F8">
        <w:rPr>
          <w:rFonts w:ascii="仿宋" w:eastAsia="仿宋" w:hAnsi="仿宋" w:cs="Times New Roman" w:hint="eastAsia"/>
          <w:sz w:val="32"/>
          <w:szCs w:val="32"/>
        </w:rPr>
        <w:t>×</w:t>
      </w:r>
      <w:r w:rsidRPr="00BD69F8">
        <w:rPr>
          <w:rFonts w:ascii="仿宋" w:eastAsia="仿宋" w:hAnsi="仿宋" w:cs="Times New Roman"/>
          <w:sz w:val="32"/>
          <w:szCs w:val="32"/>
        </w:rPr>
        <w:t>合约单位。</w:t>
      </w:r>
    </w:p>
    <w:p w:rsidR="00247FF4" w:rsidRPr="00BD69F8" w:rsidRDefault="00247FF4" w:rsidP="00247FF4">
      <w:pPr>
        <w:spacing w:line="560" w:lineRule="exact"/>
        <w:ind w:firstLineChars="200" w:firstLine="643"/>
        <w:rPr>
          <w:rFonts w:ascii="仿宋" w:eastAsia="仿宋" w:hAnsi="仿宋" w:cs="Times New Roman"/>
          <w:sz w:val="32"/>
          <w:szCs w:val="32"/>
        </w:rPr>
      </w:pPr>
      <w:r w:rsidRPr="00BD69F8">
        <w:rPr>
          <w:rFonts w:ascii="仿宋" w:eastAsia="仿宋" w:hAnsi="仿宋" w:cs="Times New Roman"/>
          <w:b/>
          <w:sz w:val="32"/>
          <w:szCs w:val="32"/>
        </w:rPr>
        <w:t>（4）认沽熊市价差策略</w:t>
      </w:r>
      <w:r w:rsidRPr="00BD69F8">
        <w:rPr>
          <w:rFonts w:ascii="仿宋" w:eastAsia="仿宋" w:hAnsi="仿宋" w:cs="Times New Roman"/>
          <w:sz w:val="32"/>
          <w:szCs w:val="32"/>
        </w:rPr>
        <w:t>。由一个认沽期权权利仓与一个相同合约标的、相同到期日、相同合约单位的认沽期权义务仓组成，其中义务仓的行权价格低于权利仓的行权价格；</w:t>
      </w:r>
      <w:r w:rsidRPr="00BD69F8">
        <w:rPr>
          <w:rFonts w:ascii="仿宋" w:eastAsia="仿宋" w:hAnsi="仿宋" w:cs="Times New Roman"/>
          <w:sz w:val="32"/>
          <w:szCs w:val="32"/>
        </w:rPr>
        <w:lastRenderedPageBreak/>
        <w:t>开仓保证金和维持保证金为零。</w:t>
      </w:r>
    </w:p>
    <w:p w:rsidR="00247FF4" w:rsidRPr="00BD69F8" w:rsidRDefault="00247FF4" w:rsidP="00247FF4">
      <w:pPr>
        <w:spacing w:line="560" w:lineRule="exact"/>
        <w:ind w:firstLineChars="200" w:firstLine="643"/>
        <w:rPr>
          <w:rFonts w:ascii="仿宋" w:eastAsia="仿宋" w:hAnsi="仿宋" w:cs="Times New Roman"/>
          <w:sz w:val="32"/>
          <w:szCs w:val="32"/>
        </w:rPr>
      </w:pPr>
      <w:r w:rsidRPr="00BD69F8">
        <w:rPr>
          <w:rFonts w:ascii="仿宋" w:eastAsia="仿宋" w:hAnsi="仿宋" w:cs="Times New Roman"/>
          <w:b/>
          <w:sz w:val="32"/>
          <w:szCs w:val="32"/>
        </w:rPr>
        <w:t>（5）跨式空头策略</w:t>
      </w:r>
      <w:r w:rsidRPr="00BD69F8">
        <w:rPr>
          <w:rFonts w:ascii="仿宋" w:eastAsia="仿宋" w:hAnsi="仿宋" w:cs="Times New Roman"/>
          <w:sz w:val="32"/>
          <w:szCs w:val="32"/>
        </w:rPr>
        <w:t>。由一个认购期权义务仓与一个相同合约标的、相同到期日、相同合约单位、相同行权价格的认沽期权义务仓组成；</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fldChar w:fldCharType="begin"/>
      </w:r>
      <w:r w:rsidRPr="00BD69F8">
        <w:rPr>
          <w:rFonts w:ascii="仿宋" w:eastAsia="仿宋" w:hAnsi="仿宋" w:cs="Times New Roman"/>
          <w:sz w:val="32"/>
          <w:szCs w:val="32"/>
        </w:rPr>
        <w:instrText xml:space="preserve"> = 1 \* GB3 </w:instrText>
      </w:r>
      <w:r w:rsidRPr="00BD69F8">
        <w:rPr>
          <w:rFonts w:ascii="仿宋" w:eastAsia="仿宋" w:hAnsi="仿宋" w:cs="Times New Roman"/>
          <w:sz w:val="32"/>
          <w:szCs w:val="32"/>
        </w:rPr>
        <w:fldChar w:fldCharType="separate"/>
      </w:r>
      <w:r w:rsidRPr="00BD69F8">
        <w:rPr>
          <w:rFonts w:ascii="仿宋" w:eastAsia="仿宋" w:hAnsi="仿宋" w:cs="宋体" w:hint="eastAsia"/>
          <w:noProof/>
          <w:sz w:val="32"/>
          <w:szCs w:val="32"/>
        </w:rPr>
        <w:t>①</w:t>
      </w:r>
      <w:r w:rsidRPr="00BD69F8">
        <w:rPr>
          <w:rFonts w:ascii="仿宋" w:eastAsia="仿宋" w:hAnsi="仿宋" w:cs="Times New Roman"/>
          <w:sz w:val="32"/>
          <w:szCs w:val="32"/>
        </w:rPr>
        <w:fldChar w:fldCharType="end"/>
      </w:r>
      <w:r w:rsidRPr="00BD69F8">
        <w:rPr>
          <w:rFonts w:ascii="仿宋" w:eastAsia="仿宋" w:hAnsi="仿宋" w:cs="Times New Roman"/>
          <w:sz w:val="32"/>
          <w:szCs w:val="32"/>
        </w:rPr>
        <w:t>开仓保证金=Max（认购期权开仓保证金，认沽期权开仓保证金）+开仓保证金较低的成分合约前结算价</w:t>
      </w:r>
      <w:r w:rsidRPr="00BD69F8">
        <w:rPr>
          <w:rFonts w:ascii="仿宋" w:eastAsia="仿宋" w:hAnsi="仿宋" w:cs="Times New Roman" w:hint="eastAsia"/>
          <w:sz w:val="32"/>
          <w:szCs w:val="32"/>
        </w:rPr>
        <w:t>×</w:t>
      </w:r>
      <w:r w:rsidRPr="00BD69F8">
        <w:rPr>
          <w:rFonts w:ascii="仿宋" w:eastAsia="仿宋" w:hAnsi="仿宋" w:cs="Times New Roman"/>
          <w:sz w:val="32"/>
          <w:szCs w:val="32"/>
        </w:rPr>
        <w:t>合约单位；</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t>当开仓保证金相等时，上述公式中开仓保证金较低的成分合约前结算价，取认购期权前结算价和认沽期权前结算价两者中的较大值。</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fldChar w:fldCharType="begin"/>
      </w:r>
      <w:r w:rsidRPr="00BD69F8">
        <w:rPr>
          <w:rFonts w:ascii="仿宋" w:eastAsia="仿宋" w:hAnsi="仿宋" w:cs="Times New Roman"/>
          <w:sz w:val="32"/>
          <w:szCs w:val="32"/>
        </w:rPr>
        <w:instrText xml:space="preserve"> = 2 \* GB3 </w:instrText>
      </w:r>
      <w:r w:rsidRPr="00BD69F8">
        <w:rPr>
          <w:rFonts w:ascii="仿宋" w:eastAsia="仿宋" w:hAnsi="仿宋" w:cs="Times New Roman"/>
          <w:sz w:val="32"/>
          <w:szCs w:val="32"/>
        </w:rPr>
        <w:fldChar w:fldCharType="separate"/>
      </w:r>
      <w:r w:rsidRPr="00BD69F8">
        <w:rPr>
          <w:rFonts w:ascii="仿宋" w:eastAsia="仿宋" w:hAnsi="仿宋" w:cs="宋体" w:hint="eastAsia"/>
          <w:noProof/>
          <w:sz w:val="32"/>
          <w:szCs w:val="32"/>
        </w:rPr>
        <w:t>②</w:t>
      </w:r>
      <w:r w:rsidRPr="00BD69F8">
        <w:rPr>
          <w:rFonts w:ascii="仿宋" w:eastAsia="仿宋" w:hAnsi="仿宋" w:cs="Times New Roman"/>
          <w:sz w:val="32"/>
          <w:szCs w:val="32"/>
        </w:rPr>
        <w:fldChar w:fldCharType="end"/>
      </w:r>
      <w:r w:rsidRPr="00BD69F8">
        <w:rPr>
          <w:rFonts w:ascii="仿宋" w:eastAsia="仿宋" w:hAnsi="仿宋" w:cs="Times New Roman"/>
          <w:sz w:val="32"/>
          <w:szCs w:val="32"/>
        </w:rPr>
        <w:t>维持保证金=Max（认购期权维持保证金，认沽期权维持保证金）+维持保证金较低的成分合约结算价</w:t>
      </w:r>
      <w:r w:rsidRPr="00BD69F8">
        <w:rPr>
          <w:rFonts w:ascii="仿宋" w:eastAsia="仿宋" w:hAnsi="仿宋" w:cs="Times New Roman" w:hint="eastAsia"/>
          <w:sz w:val="32"/>
          <w:szCs w:val="32"/>
        </w:rPr>
        <w:t>×</w:t>
      </w:r>
      <w:r w:rsidRPr="00BD69F8">
        <w:rPr>
          <w:rFonts w:ascii="仿宋" w:eastAsia="仿宋" w:hAnsi="仿宋" w:cs="Times New Roman"/>
          <w:sz w:val="32"/>
          <w:szCs w:val="32"/>
        </w:rPr>
        <w:t>合约单位；</w:t>
      </w:r>
    </w:p>
    <w:p w:rsidR="00247FF4" w:rsidRPr="00BD69F8" w:rsidRDefault="00247FF4" w:rsidP="00247FF4">
      <w:pPr>
        <w:spacing w:line="560" w:lineRule="exact"/>
        <w:ind w:firstLineChars="200" w:firstLine="640"/>
        <w:rPr>
          <w:rFonts w:ascii="仿宋" w:eastAsia="仿宋" w:hAnsi="仿宋" w:cs="Times New Roman"/>
          <w:sz w:val="32"/>
          <w:szCs w:val="32"/>
        </w:rPr>
      </w:pPr>
      <w:proofErr w:type="gramStart"/>
      <w:r w:rsidRPr="00BD69F8">
        <w:rPr>
          <w:rFonts w:ascii="仿宋" w:eastAsia="仿宋" w:hAnsi="仿宋" w:cs="Times New Roman"/>
          <w:sz w:val="32"/>
          <w:szCs w:val="32"/>
        </w:rPr>
        <w:t>当维持</w:t>
      </w:r>
      <w:proofErr w:type="gramEnd"/>
      <w:r w:rsidRPr="00BD69F8">
        <w:rPr>
          <w:rFonts w:ascii="仿宋" w:eastAsia="仿宋" w:hAnsi="仿宋" w:cs="Times New Roman"/>
          <w:sz w:val="32"/>
          <w:szCs w:val="32"/>
        </w:rPr>
        <w:t>保证金相等时，上述公式中维持保证金较低的成分合约结算价，取认购期权结算价和认沽期权结算价两者中的较大值。</w:t>
      </w:r>
    </w:p>
    <w:p w:rsidR="00247FF4" w:rsidRPr="00BD69F8" w:rsidRDefault="00247FF4" w:rsidP="00247FF4">
      <w:pPr>
        <w:spacing w:line="560" w:lineRule="exact"/>
        <w:ind w:firstLineChars="200" w:firstLine="643"/>
        <w:rPr>
          <w:rFonts w:ascii="仿宋" w:eastAsia="仿宋" w:hAnsi="仿宋" w:cs="Times New Roman"/>
          <w:sz w:val="32"/>
          <w:szCs w:val="32"/>
        </w:rPr>
      </w:pPr>
      <w:r w:rsidRPr="00BD69F8">
        <w:rPr>
          <w:rFonts w:ascii="仿宋" w:eastAsia="仿宋" w:hAnsi="仿宋" w:cs="Times New Roman"/>
          <w:b/>
          <w:sz w:val="32"/>
          <w:szCs w:val="32"/>
        </w:rPr>
        <w:t>（6）</w:t>
      </w:r>
      <w:proofErr w:type="gramStart"/>
      <w:r w:rsidRPr="00BD69F8">
        <w:rPr>
          <w:rFonts w:ascii="仿宋" w:eastAsia="仿宋" w:hAnsi="仿宋" w:cs="Times New Roman"/>
          <w:b/>
          <w:sz w:val="32"/>
          <w:szCs w:val="32"/>
        </w:rPr>
        <w:t>宽跨式</w:t>
      </w:r>
      <w:proofErr w:type="gramEnd"/>
      <w:r w:rsidRPr="00BD69F8">
        <w:rPr>
          <w:rFonts w:ascii="仿宋" w:eastAsia="仿宋" w:hAnsi="仿宋" w:cs="Times New Roman"/>
          <w:b/>
          <w:sz w:val="32"/>
          <w:szCs w:val="32"/>
        </w:rPr>
        <w:t>空头策略</w:t>
      </w:r>
      <w:r w:rsidRPr="00BD69F8">
        <w:rPr>
          <w:rFonts w:ascii="仿宋" w:eastAsia="仿宋" w:hAnsi="仿宋" w:cs="Times New Roman"/>
          <w:sz w:val="32"/>
          <w:szCs w:val="32"/>
        </w:rPr>
        <w:t>。由一个较高行权价格的认购期权义务仓，与一个相同合约标的、相同到期日、相同合约单位、较低行权价格的认沽期权义务仓组成；</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fldChar w:fldCharType="begin"/>
      </w:r>
      <w:r w:rsidRPr="00BD69F8">
        <w:rPr>
          <w:rFonts w:ascii="仿宋" w:eastAsia="仿宋" w:hAnsi="仿宋" w:cs="Times New Roman"/>
          <w:sz w:val="32"/>
          <w:szCs w:val="32"/>
        </w:rPr>
        <w:instrText xml:space="preserve"> = 1 \* GB3 </w:instrText>
      </w:r>
      <w:r w:rsidRPr="00BD69F8">
        <w:rPr>
          <w:rFonts w:ascii="仿宋" w:eastAsia="仿宋" w:hAnsi="仿宋" w:cs="Times New Roman"/>
          <w:sz w:val="32"/>
          <w:szCs w:val="32"/>
        </w:rPr>
        <w:fldChar w:fldCharType="separate"/>
      </w:r>
      <w:r w:rsidRPr="00BD69F8">
        <w:rPr>
          <w:rFonts w:ascii="仿宋" w:eastAsia="仿宋" w:hAnsi="仿宋" w:cs="宋体" w:hint="eastAsia"/>
          <w:noProof/>
          <w:sz w:val="32"/>
          <w:szCs w:val="32"/>
        </w:rPr>
        <w:t>①</w:t>
      </w:r>
      <w:r w:rsidRPr="00BD69F8">
        <w:rPr>
          <w:rFonts w:ascii="仿宋" w:eastAsia="仿宋" w:hAnsi="仿宋" w:cs="Times New Roman"/>
          <w:sz w:val="32"/>
          <w:szCs w:val="32"/>
        </w:rPr>
        <w:fldChar w:fldCharType="end"/>
      </w:r>
      <w:r w:rsidRPr="00BD69F8">
        <w:rPr>
          <w:rFonts w:ascii="仿宋" w:eastAsia="仿宋" w:hAnsi="仿宋" w:cs="Times New Roman"/>
          <w:sz w:val="32"/>
          <w:szCs w:val="32"/>
        </w:rPr>
        <w:t>开仓保证金=Max（认购期权开仓保证金，认沽期权开仓保证金）+开仓保证金较低的成分合约前结算价</w:t>
      </w:r>
      <w:r w:rsidRPr="00BD69F8">
        <w:rPr>
          <w:rFonts w:ascii="仿宋" w:eastAsia="仿宋" w:hAnsi="仿宋" w:cs="Times New Roman" w:hint="eastAsia"/>
          <w:sz w:val="32"/>
          <w:szCs w:val="32"/>
        </w:rPr>
        <w:t>×</w:t>
      </w:r>
      <w:r w:rsidRPr="00BD69F8">
        <w:rPr>
          <w:rFonts w:ascii="仿宋" w:eastAsia="仿宋" w:hAnsi="仿宋" w:cs="Times New Roman"/>
          <w:sz w:val="32"/>
          <w:szCs w:val="32"/>
        </w:rPr>
        <w:t>合约单位；</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t>当开仓保证金相等时，上述公式中开仓保证金较低的成分合约前结算价，取认购期权前结算价和认沽期权前结算价两者中的较大值。</w:t>
      </w:r>
    </w:p>
    <w:p w:rsidR="00247FF4" w:rsidRPr="00BD69F8" w:rsidRDefault="00247FF4" w:rsidP="00247FF4">
      <w:pPr>
        <w:spacing w:line="560" w:lineRule="exact"/>
        <w:ind w:firstLineChars="200" w:firstLine="640"/>
        <w:rPr>
          <w:rFonts w:ascii="仿宋" w:eastAsia="仿宋" w:hAnsi="仿宋" w:cs="Times New Roman"/>
          <w:sz w:val="32"/>
          <w:szCs w:val="32"/>
        </w:rPr>
      </w:pPr>
      <w:r w:rsidRPr="00BD69F8">
        <w:rPr>
          <w:rFonts w:ascii="仿宋" w:eastAsia="仿宋" w:hAnsi="仿宋" w:cs="Times New Roman"/>
          <w:sz w:val="32"/>
          <w:szCs w:val="32"/>
        </w:rPr>
        <w:lastRenderedPageBreak/>
        <w:fldChar w:fldCharType="begin"/>
      </w:r>
      <w:r w:rsidRPr="00BD69F8">
        <w:rPr>
          <w:rFonts w:ascii="仿宋" w:eastAsia="仿宋" w:hAnsi="仿宋" w:cs="Times New Roman"/>
          <w:sz w:val="32"/>
          <w:szCs w:val="32"/>
        </w:rPr>
        <w:instrText xml:space="preserve"> = 2 \* GB3 </w:instrText>
      </w:r>
      <w:r w:rsidRPr="00BD69F8">
        <w:rPr>
          <w:rFonts w:ascii="仿宋" w:eastAsia="仿宋" w:hAnsi="仿宋" w:cs="Times New Roman"/>
          <w:sz w:val="32"/>
          <w:szCs w:val="32"/>
        </w:rPr>
        <w:fldChar w:fldCharType="separate"/>
      </w:r>
      <w:r w:rsidRPr="00BD69F8">
        <w:rPr>
          <w:rFonts w:ascii="仿宋" w:eastAsia="仿宋" w:hAnsi="仿宋" w:cs="宋体" w:hint="eastAsia"/>
          <w:noProof/>
          <w:sz w:val="32"/>
          <w:szCs w:val="32"/>
        </w:rPr>
        <w:t>②</w:t>
      </w:r>
      <w:r w:rsidRPr="00BD69F8">
        <w:rPr>
          <w:rFonts w:ascii="仿宋" w:eastAsia="仿宋" w:hAnsi="仿宋" w:cs="Times New Roman"/>
          <w:sz w:val="32"/>
          <w:szCs w:val="32"/>
        </w:rPr>
        <w:fldChar w:fldCharType="end"/>
      </w:r>
      <w:r w:rsidRPr="00BD69F8">
        <w:rPr>
          <w:rFonts w:ascii="仿宋" w:eastAsia="仿宋" w:hAnsi="仿宋" w:cs="Times New Roman"/>
          <w:sz w:val="32"/>
          <w:szCs w:val="32"/>
        </w:rPr>
        <w:t>维持保证金=Max（认购期权维持保证金，认沽期权维持保证金）+维持保证金较低的成分合约结算价</w:t>
      </w:r>
      <w:r w:rsidRPr="00BD69F8">
        <w:rPr>
          <w:rFonts w:ascii="仿宋" w:eastAsia="仿宋" w:hAnsi="仿宋" w:cs="Times New Roman" w:hint="eastAsia"/>
          <w:sz w:val="32"/>
          <w:szCs w:val="32"/>
        </w:rPr>
        <w:t>×</w:t>
      </w:r>
      <w:r w:rsidRPr="00BD69F8">
        <w:rPr>
          <w:rFonts w:ascii="仿宋" w:eastAsia="仿宋" w:hAnsi="仿宋" w:cs="Times New Roman"/>
          <w:sz w:val="32"/>
          <w:szCs w:val="32"/>
        </w:rPr>
        <w:t>合约单位；</w:t>
      </w:r>
    </w:p>
    <w:p w:rsidR="00247FF4" w:rsidRPr="00BD69F8" w:rsidRDefault="00247FF4" w:rsidP="00247FF4">
      <w:pPr>
        <w:spacing w:line="560" w:lineRule="exact"/>
        <w:ind w:firstLineChars="200" w:firstLine="640"/>
        <w:rPr>
          <w:rFonts w:ascii="仿宋" w:eastAsia="仿宋" w:hAnsi="仿宋" w:cs="Times New Roman"/>
          <w:sz w:val="32"/>
          <w:szCs w:val="32"/>
        </w:rPr>
      </w:pPr>
      <w:proofErr w:type="gramStart"/>
      <w:r w:rsidRPr="00BD69F8">
        <w:rPr>
          <w:rFonts w:ascii="仿宋" w:eastAsia="仿宋" w:hAnsi="仿宋" w:cs="Times New Roman"/>
          <w:sz w:val="32"/>
          <w:szCs w:val="32"/>
        </w:rPr>
        <w:t>当维持</w:t>
      </w:r>
      <w:proofErr w:type="gramEnd"/>
      <w:r w:rsidRPr="00BD69F8">
        <w:rPr>
          <w:rFonts w:ascii="仿宋" w:eastAsia="仿宋" w:hAnsi="仿宋" w:cs="Times New Roman"/>
          <w:sz w:val="32"/>
          <w:szCs w:val="32"/>
        </w:rPr>
        <w:t>保证金相等时，上述公式中维持保证金较低的成分合约结算价，取认购期权结算价和认沽期权结算价两者中的较大值。</w:t>
      </w:r>
    </w:p>
    <w:p w:rsidR="00247FF4" w:rsidRPr="00BD69F8" w:rsidRDefault="00247FF4" w:rsidP="00247FF4">
      <w:pPr>
        <w:spacing w:line="560" w:lineRule="exact"/>
        <w:ind w:firstLineChars="200" w:firstLine="643"/>
        <w:rPr>
          <w:rFonts w:ascii="仿宋" w:eastAsia="仿宋" w:hAnsi="仿宋" w:cs="Times New Roman"/>
          <w:sz w:val="32"/>
          <w:szCs w:val="32"/>
        </w:rPr>
      </w:pPr>
      <w:r w:rsidRPr="00ED20F8">
        <w:rPr>
          <w:rFonts w:ascii="仿宋" w:eastAsia="仿宋" w:hAnsi="仿宋" w:cs="Times New Roman"/>
          <w:b/>
          <w:sz w:val="32"/>
          <w:szCs w:val="32"/>
        </w:rPr>
        <w:t>（7）</w:t>
      </w:r>
      <w:r w:rsidRPr="00BD69F8">
        <w:rPr>
          <w:rFonts w:ascii="仿宋" w:eastAsia="仿宋" w:hAnsi="仿宋" w:cs="Times New Roman"/>
          <w:b/>
          <w:sz w:val="32"/>
          <w:szCs w:val="32"/>
        </w:rPr>
        <w:t>深交所、中国结算规定的其他组合策略类型</w:t>
      </w:r>
      <w:r w:rsidRPr="00BD69F8">
        <w:rPr>
          <w:rFonts w:ascii="仿宋" w:eastAsia="仿宋" w:hAnsi="仿宋" w:cs="Times New Roman"/>
          <w:sz w:val="32"/>
          <w:szCs w:val="32"/>
        </w:rPr>
        <w:t>。该类组合策略保证金收取标准由深交所、中国结算另行规定</w:t>
      </w:r>
      <w:r w:rsidRPr="00BD69F8">
        <w:rPr>
          <w:rFonts w:ascii="仿宋" w:eastAsia="仿宋" w:hAnsi="仿宋" w:cs="Times New Roman" w:hint="eastAsia"/>
          <w:sz w:val="32"/>
          <w:szCs w:val="32"/>
        </w:rPr>
        <w:t>。</w:t>
      </w:r>
    </w:p>
    <w:p w:rsidR="00F05D98" w:rsidRDefault="00F05D98">
      <w:pPr>
        <w:spacing w:line="560" w:lineRule="exact"/>
        <w:rPr>
          <w:rFonts w:ascii="仿宋" w:eastAsia="仿宋" w:hAnsi="仿宋" w:cs="Times New Roman"/>
          <w:b/>
          <w:sz w:val="32"/>
          <w:szCs w:val="32"/>
        </w:rPr>
      </w:pPr>
    </w:p>
    <w:p w:rsidR="00F05D98" w:rsidRDefault="00F05D98">
      <w:pPr>
        <w:spacing w:line="560" w:lineRule="exact"/>
        <w:rPr>
          <w:rFonts w:ascii="仿宋" w:eastAsia="仿宋" w:hAnsi="仿宋"/>
          <w:sz w:val="32"/>
        </w:rPr>
      </w:pPr>
    </w:p>
    <w:p w:rsidR="00F05D98" w:rsidRDefault="00995CCF">
      <w:pPr>
        <w:spacing w:line="560" w:lineRule="exact"/>
        <w:rPr>
          <w:rFonts w:ascii="仿宋" w:eastAsia="仿宋" w:hAnsi="仿宋"/>
          <w:sz w:val="32"/>
        </w:rPr>
      </w:pPr>
      <w:r>
        <w:rPr>
          <w:rFonts w:ascii="仿宋" w:eastAsia="仿宋" w:hAnsi="仿宋" w:hint="eastAsia"/>
          <w:sz w:val="32"/>
        </w:rPr>
        <w:t>（“期权入市手册”系列文章支持单位：广发证券、国泰君安证券、华泰证券、嘉实基金、易方达基金、招商证券、中</w:t>
      </w:r>
      <w:proofErr w:type="gramStart"/>
      <w:r>
        <w:rPr>
          <w:rFonts w:ascii="仿宋" w:eastAsia="仿宋" w:hAnsi="仿宋" w:hint="eastAsia"/>
          <w:sz w:val="32"/>
        </w:rPr>
        <w:t>信建投证券</w:t>
      </w:r>
      <w:proofErr w:type="gramEnd"/>
      <w:r>
        <w:rPr>
          <w:rFonts w:ascii="仿宋" w:eastAsia="仿宋" w:hAnsi="仿宋" w:hint="eastAsia"/>
          <w:sz w:val="32"/>
        </w:rPr>
        <w:t>（按音序排列，排名不分先后））</w:t>
      </w:r>
    </w:p>
    <w:p w:rsidR="00F05D98" w:rsidRDefault="00F05D98">
      <w:pPr>
        <w:spacing w:line="560" w:lineRule="exact"/>
        <w:rPr>
          <w:rFonts w:ascii="仿宋" w:eastAsia="仿宋" w:hAnsi="仿宋"/>
          <w:sz w:val="32"/>
        </w:rPr>
      </w:pPr>
    </w:p>
    <w:p w:rsidR="00F05D98" w:rsidRDefault="00995CCF">
      <w:pPr>
        <w:spacing w:line="560" w:lineRule="exact"/>
        <w:rPr>
          <w:rFonts w:ascii="仿宋" w:eastAsia="仿宋" w:hAnsi="仿宋"/>
          <w:sz w:val="32"/>
        </w:rPr>
      </w:pPr>
      <w:r>
        <w:rPr>
          <w:rFonts w:ascii="仿宋" w:eastAsia="仿宋" w:hAnsi="仿宋" w:hint="eastAsia"/>
          <w:sz w:val="32"/>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r>
        <w:rPr>
          <w:rFonts w:ascii="仿宋" w:eastAsia="仿宋" w:hAnsi="仿宋" w:hint="eastAsia"/>
          <w:b/>
          <w:noProof/>
          <w:sz w:val="180"/>
          <w:szCs w:val="36"/>
        </w:rPr>
        <mc:AlternateContent>
          <mc:Choice Requires="wps">
            <w:drawing>
              <wp:anchor distT="0" distB="0" distL="114300" distR="114300" simplePos="0" relativeHeight="251659264" behindDoc="0" locked="1" layoutInCell="0" allowOverlap="1">
                <wp:simplePos x="0" y="0"/>
                <wp:positionH relativeFrom="margin">
                  <wp:align>right</wp:align>
                </wp:positionH>
                <wp:positionV relativeFrom="topMargin">
                  <wp:align>bottom</wp:align>
                </wp:positionV>
                <wp:extent cx="1410970" cy="244475"/>
                <wp:effectExtent l="0" t="0" r="1778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44475"/>
                        </a:xfrm>
                        <a:prstGeom prst="rect">
                          <a:avLst/>
                        </a:prstGeom>
                        <a:solidFill>
                          <a:srgbClr val="FFFFFF">
                            <a:alpha val="75000"/>
                          </a:srgbClr>
                        </a:solidFill>
                        <a:ln w="19050">
                          <a:solidFill>
                            <a:srgbClr val="FF0000"/>
                          </a:solidFill>
                          <a:miter lim="800000"/>
                        </a:ln>
                      </wps:spPr>
                      <wps:txbx>
                        <w:txbxContent>
                          <w:p w:rsidR="00F05D98" w:rsidRDefault="00995CCF">
                            <w:pPr>
                              <w:spacing w:line="240" w:lineRule="exact"/>
                              <w:jc w:val="center"/>
                              <w:rPr>
                                <w:rFonts w:ascii="宋体" w:hAnsi="宋体"/>
                                <w:b/>
                                <w:color w:val="FF0000"/>
                                <w:szCs w:val="21"/>
                              </w:rPr>
                            </w:pPr>
                            <w:r>
                              <w:rPr>
                                <w:rFonts w:ascii="宋体" w:hAnsi="宋体" w:hint="eastAsia"/>
                                <w:b/>
                                <w:color w:val="FF0000"/>
                                <w:szCs w:val="21"/>
                              </w:rPr>
                              <w:t>内部使用</w:t>
                            </w:r>
                          </w:p>
                        </w:txbxContent>
                      </wps:txbx>
                      <wps:bodyPr rot="0" vert="horz" wrap="square" lIns="36000" tIns="36000" rIns="36000" bIns="3600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9pt;margin-top:0;width:111.1pt;height:19.25pt;z-index:251659264;visibility:visible;mso-wrap-style:square;mso-wrap-distance-left:9pt;mso-wrap-distance-top:0;mso-wrap-distance-right:9pt;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ddJwIAAFoEAAAOAAAAZHJzL2Uyb0RvYy54bWysVNuO2yAQfa/Uf0C8N3ayyV6sOKttVqkq&#10;bS/Sbj8AY2yjAkOBxE6/vgNOUreV+lDVD4iB4czMOTNe3w9akYNwXoIp6XyWUyIMh1qatqRfXnZv&#10;binxgZmaKTCipEfh6f3m9at1bwuxgA5ULRxBEOOL3pa0C8EWWeZ5JzTzM7DC4GUDTrOApmuz2rEe&#10;0bXKFnl+nfXgauuAC+/x9HG8pJuE3zSCh09N40UgqqSYW0irS2sV12yzZkXrmO0kP6XB/iELzaTB&#10;oBeoRxYY2Tv5B5SW3IGHJsw46AyaRnKRasBq5vlv1Tx3zIpUC5Lj7YUm//9g+cfDZ0dkXdIrSgzT&#10;KNGLGAJ5CwNZRHZ66wt0erboFgY8RpVTpd4+Af/qiYFtx0wrHpyDvhOsxuzm8WU2eTri+AhS9R+g&#10;xjBsHyABDY3TkTokgyA6qnS8KBNT4THkcp7f3eAVx7vFcrm8WaUQrDi/ts6HdwI0iZuSOlQ+obPD&#10;kw8xG1acXWIwD0rWO6lUMlxbbZUjB4Zdskvf+FbZjo2nN6s8T92COH50T5i/4ChDesz1Ll/lI0V/&#10;CYJwF7ypm5YBB0JJXdLb6HN2UubEaCRxpDMM1XBSqIL6iNw6GBscBxI3HbjvlPTY3CX13/bMCUrU&#10;e4P6XF1HYBKmhpsa1dRghiNUSQMl43YbxgnaWyfbDiOdO+IBNd3JRHcUf8zqlDc2cGLsNGxxQqZ2&#10;8vr5S9j8AAAA//8DAFBLAwQUAAYACAAAACEAbdVfx9wAAAAEAQAADwAAAGRycy9kb3ducmV2Lnht&#10;bEyPzUvDQBDF74L/wzKCN7tptbbEbIr4AV489AMkt2l2TEKzs2F328b/3tGLzuHB8Ib3flOsRter&#10;E4XYeTYwnWSgiGtvO24M7LavN0tQMSFb7D2TgS+KsCovLwrMrT/zmk6b1CgJ4ZijgTalIdc61i05&#10;jBM/EIv36YPDJGtotA14lnDX61mW3WuHHUtDiwM9tVQfNkdnYD0uhjt6rj7m291LeK8Wh2n1lhlz&#10;fTU+PoBKNKa/Y/jBF3QohWnvj2yj6g3II+lXxZvJgNobuF3OQZeF/g9ffgMAAP//AwBQSwECLQAU&#10;AAYACAAAACEAtoM4kv4AAADhAQAAEwAAAAAAAAAAAAAAAAAAAAAAW0NvbnRlbnRfVHlwZXNdLnht&#10;bFBLAQItABQABgAIAAAAIQA4/SH/1gAAAJQBAAALAAAAAAAAAAAAAAAAAC8BAABfcmVscy8ucmVs&#10;c1BLAQItABQABgAIAAAAIQBDYbddJwIAAFoEAAAOAAAAAAAAAAAAAAAAAC4CAABkcnMvZTJvRG9j&#10;LnhtbFBLAQItABQABgAIAAAAIQBt1V/H3AAAAAQBAAAPAAAAAAAAAAAAAAAAAIEEAABkcnMvZG93&#10;bnJldi54bWxQSwUGAAAAAAQABADzAAAAigUAAAAA&#10;" o:allowincell="f" strokecolor="red" strokeweight="1.5pt">
                <v:fill opacity="49087f"/>
                <v:textbox style="mso-fit-shape-to-text:t" inset="1mm,1mm,1mm,1mm">
                  <w:txbxContent>
                    <w:p w:rsidR="00F05D98" w:rsidRDefault="00995CCF">
                      <w:pPr>
                        <w:spacing w:line="240" w:lineRule="exact"/>
                        <w:jc w:val="center"/>
                        <w:rPr>
                          <w:rFonts w:ascii="宋体" w:hAnsi="宋体"/>
                          <w:b/>
                          <w:color w:val="FF0000"/>
                          <w:szCs w:val="21"/>
                        </w:rPr>
                      </w:pPr>
                      <w:r>
                        <w:rPr>
                          <w:rFonts w:ascii="宋体" w:hAnsi="宋体" w:hint="eastAsia"/>
                          <w:b/>
                          <w:color w:val="FF0000"/>
                          <w:szCs w:val="21"/>
                        </w:rPr>
                        <w:t>内部使用</w:t>
                      </w:r>
                    </w:p>
                  </w:txbxContent>
                </v:textbox>
                <w10:wrap anchorx="margin" anchory="margin"/>
                <w10:anchorlock/>
              </v:shape>
            </w:pict>
          </mc:Fallback>
        </mc:AlternateContent>
      </w:r>
    </w:p>
    <w:sectPr w:rsidR="00F05D9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1C1A1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21F"/>
    <w:multiLevelType w:val="multilevel"/>
    <w:tmpl w:val="01B472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8E21F1"/>
    <w:multiLevelType w:val="hybridMultilevel"/>
    <w:tmpl w:val="7AFA42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嘉琦">
    <w15:presenceInfo w15:providerId="None" w15:userId="张嘉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7F"/>
    <w:rsid w:val="00024E42"/>
    <w:rsid w:val="00045881"/>
    <w:rsid w:val="00073B27"/>
    <w:rsid w:val="000850D4"/>
    <w:rsid w:val="000E658A"/>
    <w:rsid w:val="00146DC5"/>
    <w:rsid w:val="0020392E"/>
    <w:rsid w:val="00247FF4"/>
    <w:rsid w:val="00254873"/>
    <w:rsid w:val="00273878"/>
    <w:rsid w:val="002B4453"/>
    <w:rsid w:val="0032412C"/>
    <w:rsid w:val="003307EE"/>
    <w:rsid w:val="00334216"/>
    <w:rsid w:val="003B3D62"/>
    <w:rsid w:val="003E1D15"/>
    <w:rsid w:val="004352D8"/>
    <w:rsid w:val="00485D85"/>
    <w:rsid w:val="004A65EE"/>
    <w:rsid w:val="00575795"/>
    <w:rsid w:val="00590C44"/>
    <w:rsid w:val="005A5EA9"/>
    <w:rsid w:val="00603685"/>
    <w:rsid w:val="006A1AC9"/>
    <w:rsid w:val="006D73C9"/>
    <w:rsid w:val="00764E15"/>
    <w:rsid w:val="007B4F37"/>
    <w:rsid w:val="007F1C7C"/>
    <w:rsid w:val="00827545"/>
    <w:rsid w:val="0084597E"/>
    <w:rsid w:val="00863BCF"/>
    <w:rsid w:val="00872572"/>
    <w:rsid w:val="00922D35"/>
    <w:rsid w:val="00924E1A"/>
    <w:rsid w:val="00995CCF"/>
    <w:rsid w:val="00A12A83"/>
    <w:rsid w:val="00AB4FF2"/>
    <w:rsid w:val="00B44386"/>
    <w:rsid w:val="00B46E54"/>
    <w:rsid w:val="00B47BC0"/>
    <w:rsid w:val="00B51E4A"/>
    <w:rsid w:val="00BF607F"/>
    <w:rsid w:val="00C16D94"/>
    <w:rsid w:val="00CD5C62"/>
    <w:rsid w:val="00CF24AA"/>
    <w:rsid w:val="00D047F1"/>
    <w:rsid w:val="00D41A29"/>
    <w:rsid w:val="00D61301"/>
    <w:rsid w:val="00D801F4"/>
    <w:rsid w:val="00E04C3C"/>
    <w:rsid w:val="00EA54BE"/>
    <w:rsid w:val="00EC7ADB"/>
    <w:rsid w:val="00EF0751"/>
    <w:rsid w:val="00EF72FB"/>
    <w:rsid w:val="00F05D98"/>
    <w:rsid w:val="00F26F8B"/>
    <w:rsid w:val="00F75860"/>
    <w:rsid w:val="00FC7F84"/>
    <w:rsid w:val="00FD2CDF"/>
    <w:rsid w:val="01D8609C"/>
    <w:rsid w:val="201B7EE2"/>
    <w:rsid w:val="48B82223"/>
    <w:rsid w:val="686C4009"/>
    <w:rsid w:val="6BB700EA"/>
    <w:rsid w:val="6F5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outlineLvl w:val="2"/>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annotation subject"/>
    <w:basedOn w:val="a4"/>
    <w:next w:val="a4"/>
    <w:link w:val="Char1"/>
    <w:uiPriority w:val="99"/>
    <w:semiHidden/>
    <w:unhideWhenUsed/>
    <w:qFormat/>
    <w:rPr>
      <w:b/>
      <w:bCs/>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5"/>
    <w:uiPriority w:val="99"/>
    <w:semiHidden/>
    <w:qFormat/>
    <w:rPr>
      <w:kern w:val="2"/>
      <w:sz w:val="18"/>
      <w:szCs w:val="18"/>
    </w:rPr>
  </w:style>
  <w:style w:type="character" w:customStyle="1" w:styleId="3Char">
    <w:name w:val="标题 3 Char"/>
    <w:basedOn w:val="a0"/>
    <w:link w:val="3"/>
    <w:uiPriority w:val="9"/>
    <w:qFormat/>
    <w:rPr>
      <w:rFonts w:ascii="仿宋" w:eastAsia="仿宋" w:hAnsi="仿宋"/>
      <w:b/>
      <w:bCs/>
      <w:kern w:val="2"/>
      <w:sz w:val="32"/>
      <w:szCs w:val="32"/>
    </w:rPr>
  </w:style>
  <w:style w:type="table" w:customStyle="1" w:styleId="1">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4"/>
    <w:uiPriority w:val="99"/>
    <w:semiHidden/>
    <w:qFormat/>
    <w:rPr>
      <w:kern w:val="2"/>
      <w:sz w:val="21"/>
      <w:szCs w:val="22"/>
    </w:rPr>
  </w:style>
  <w:style w:type="character" w:customStyle="1" w:styleId="Char1">
    <w:name w:val="批注主题 Char"/>
    <w:basedOn w:val="Char"/>
    <w:link w:val="a6"/>
    <w:uiPriority w:val="99"/>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outlineLvl w:val="2"/>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annotation subject"/>
    <w:basedOn w:val="a4"/>
    <w:next w:val="a4"/>
    <w:link w:val="Char1"/>
    <w:uiPriority w:val="99"/>
    <w:semiHidden/>
    <w:unhideWhenUsed/>
    <w:qFormat/>
    <w:rPr>
      <w:b/>
      <w:bCs/>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5"/>
    <w:uiPriority w:val="99"/>
    <w:semiHidden/>
    <w:qFormat/>
    <w:rPr>
      <w:kern w:val="2"/>
      <w:sz w:val="18"/>
      <w:szCs w:val="18"/>
    </w:rPr>
  </w:style>
  <w:style w:type="character" w:customStyle="1" w:styleId="3Char">
    <w:name w:val="标题 3 Char"/>
    <w:basedOn w:val="a0"/>
    <w:link w:val="3"/>
    <w:uiPriority w:val="9"/>
    <w:qFormat/>
    <w:rPr>
      <w:rFonts w:ascii="仿宋" w:eastAsia="仿宋" w:hAnsi="仿宋"/>
      <w:b/>
      <w:bCs/>
      <w:kern w:val="2"/>
      <w:sz w:val="32"/>
      <w:szCs w:val="32"/>
    </w:rPr>
  </w:style>
  <w:style w:type="table" w:customStyle="1" w:styleId="1">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4"/>
    <w:uiPriority w:val="99"/>
    <w:semiHidden/>
    <w:qFormat/>
    <w:rPr>
      <w:kern w:val="2"/>
      <w:sz w:val="21"/>
      <w:szCs w:val="22"/>
    </w:rPr>
  </w:style>
  <w:style w:type="character" w:customStyle="1" w:styleId="Char1">
    <w:name w:val="批注主题 Char"/>
    <w:basedOn w:val="Char"/>
    <w:link w:val="a6"/>
    <w:uiPriority w:val="99"/>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88BF7-EC46-4211-87BB-E24B96AF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陈洁</dc:creator>
  <cp:lastModifiedBy>陈洁</cp:lastModifiedBy>
  <cp:revision>9</cp:revision>
  <dcterms:created xsi:type="dcterms:W3CDTF">2022-11-08T11:27:00Z</dcterms:created>
  <dcterms:modified xsi:type="dcterms:W3CDTF">2022-11-21T06:58:00Z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C8F2276712B449C58C5180BCD0267F96</vt:lpwstr>
  </property>
</Properties>
</file>