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8" w:rsidRDefault="00F05D98"/>
    <w:p w:rsidR="00F05D98" w:rsidRDefault="00F05D98">
      <w:pPr>
        <w:rPr>
          <w:rFonts w:hint="eastAsia"/>
        </w:rPr>
      </w:pPr>
    </w:p>
    <w:p w:rsidR="005E2E9D" w:rsidRDefault="005E2E9D">
      <w:bookmarkStart w:id="0" w:name="_GoBack"/>
      <w:bookmarkEnd w:id="0"/>
    </w:p>
    <w:p w:rsidR="00F05D98" w:rsidRDefault="005E2E9D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深市</w:t>
      </w:r>
      <w:r w:rsidR="000850D4">
        <w:rPr>
          <w:rFonts w:ascii="方正小标宋简体" w:eastAsia="方正小标宋简体" w:hAnsi="方正小标宋简体" w:hint="eastAsia"/>
          <w:sz w:val="44"/>
        </w:rPr>
        <w:t>期权入市手册（十</w:t>
      </w:r>
      <w:r w:rsidR="00F64A9F">
        <w:rPr>
          <w:rFonts w:ascii="方正小标宋简体" w:eastAsia="方正小标宋简体" w:hAnsi="方正小标宋简体" w:hint="eastAsia"/>
          <w:sz w:val="44"/>
        </w:rPr>
        <w:t>七</w:t>
      </w:r>
      <w:r w:rsidR="00995CCF">
        <w:rPr>
          <w:rFonts w:ascii="方正小标宋简体" w:eastAsia="方正小标宋简体" w:hAnsi="方正小标宋简体" w:hint="eastAsia"/>
          <w:sz w:val="44"/>
        </w:rPr>
        <w:t>）：</w:t>
      </w:r>
      <w:r w:rsidR="00995CCF">
        <w:rPr>
          <w:rFonts w:ascii="方正小标宋简体" w:eastAsia="方正小标宋简体" w:hAnsi="方正小标宋简体"/>
          <w:sz w:val="44"/>
        </w:rPr>
        <w:br/>
      </w:r>
      <w:r w:rsidR="000850D4">
        <w:rPr>
          <w:rFonts w:ascii="方正小标宋简体" w:eastAsia="方正小标宋简体" w:hAnsi="方正小标宋简体" w:hint="eastAsia"/>
          <w:sz w:val="44"/>
        </w:rPr>
        <w:t>期权交易实务</w:t>
      </w:r>
      <w:r w:rsidR="00D047F1">
        <w:rPr>
          <w:rFonts w:ascii="方正小标宋简体" w:eastAsia="方正小标宋简体" w:hAnsi="方正小标宋简体" w:hint="eastAsia"/>
          <w:sz w:val="44"/>
        </w:rPr>
        <w:t>之</w:t>
      </w:r>
      <w:r w:rsidR="00F64A9F">
        <w:rPr>
          <w:rFonts w:ascii="方正小标宋简体" w:eastAsia="方正小标宋简体" w:hAnsi="方正小标宋简体" w:hint="eastAsia"/>
          <w:sz w:val="44"/>
        </w:rPr>
        <w:t>期权合约到期</w:t>
      </w:r>
      <w:r w:rsidR="007046F1">
        <w:rPr>
          <w:rFonts w:ascii="方正小标宋简体" w:eastAsia="方正小标宋简体" w:hAnsi="方正小标宋简体" w:hint="eastAsia"/>
          <w:sz w:val="44"/>
        </w:rPr>
        <w:t>的注意事项</w:t>
      </w:r>
    </w:p>
    <w:p w:rsidR="00F05D98" w:rsidRPr="000850D4" w:rsidRDefault="00F05D98"/>
    <w:p w:rsidR="00F05D98" w:rsidRDefault="00F05D98"/>
    <w:p w:rsidR="00F05D98" w:rsidRPr="00045881" w:rsidRDefault="00F05D98"/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61301">
        <w:rPr>
          <w:rFonts w:ascii="仿宋" w:eastAsia="仿宋" w:hAnsi="仿宋" w:hint="eastAsia"/>
          <w:sz w:val="32"/>
        </w:rPr>
        <w:t>标的为创业板ETF，代码</w:t>
      </w:r>
      <w:r>
        <w:rPr>
          <w:rFonts w:ascii="仿宋" w:eastAsia="仿宋" w:hAnsi="仿宋" w:hint="eastAsia"/>
          <w:sz w:val="32"/>
        </w:rPr>
        <w:t>159915）、中证500ETF期权（</w:t>
      </w:r>
      <w:r w:rsidR="00D61301">
        <w:rPr>
          <w:rFonts w:ascii="仿宋" w:eastAsia="仿宋" w:hAnsi="仿宋" w:hint="eastAsia"/>
          <w:sz w:val="32"/>
        </w:rPr>
        <w:t>标的为中证500ETF，代码</w:t>
      </w:r>
      <w:r>
        <w:rPr>
          <w:rFonts w:ascii="仿宋" w:eastAsia="仿宋" w:hAnsi="仿宋" w:hint="eastAsia"/>
          <w:sz w:val="32"/>
        </w:rPr>
        <w:t>159922）上市交易。为帮助投资者系统了解期权产品特征、理性参与期权交易、有效提升风险管理能力，深交所联合市场机构推出“期权入市手册”系列连载文章。今天是第</w:t>
      </w:r>
      <w:r w:rsidR="00F64A9F">
        <w:rPr>
          <w:rFonts w:ascii="仿宋" w:eastAsia="仿宋" w:hAnsi="仿宋" w:hint="eastAsia"/>
          <w:sz w:val="32"/>
        </w:rPr>
        <w:t>17</w:t>
      </w:r>
      <w:r>
        <w:rPr>
          <w:rFonts w:ascii="仿宋" w:eastAsia="仿宋" w:hAnsi="仿宋" w:hint="eastAsia"/>
          <w:sz w:val="32"/>
        </w:rPr>
        <w:t>期，让</w:t>
      </w:r>
      <w:r w:rsidR="00EC7ADB">
        <w:rPr>
          <w:rFonts w:ascii="仿宋" w:eastAsia="仿宋" w:hAnsi="仿宋" w:hint="eastAsia"/>
          <w:sz w:val="32"/>
        </w:rPr>
        <w:t>我们</w:t>
      </w:r>
      <w:r>
        <w:rPr>
          <w:rFonts w:ascii="仿宋" w:eastAsia="仿宋" w:hAnsi="仿宋" w:hint="eastAsia"/>
          <w:sz w:val="32"/>
        </w:rPr>
        <w:t>了解</w:t>
      </w:r>
      <w:r w:rsidR="00F64A9F">
        <w:rPr>
          <w:rFonts w:ascii="仿宋" w:eastAsia="仿宋" w:hAnsi="仿宋" w:hint="eastAsia"/>
          <w:sz w:val="32"/>
        </w:rPr>
        <w:t>期权合约到期的注意事项</w:t>
      </w:r>
      <w:r>
        <w:rPr>
          <w:rFonts w:ascii="仿宋" w:eastAsia="仿宋" w:hAnsi="仿宋" w:hint="eastAsia"/>
          <w:sz w:val="32"/>
        </w:rPr>
        <w:t>吧！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5542B" w:rsidRPr="00BD69F8" w:rsidRDefault="00F5542B" w:rsidP="00F5542B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82449723"/>
      <w:bookmarkStart w:id="2" w:name="_Toc82449724"/>
      <w:bookmarkStart w:id="3" w:name="_Toc82449725"/>
      <w:bookmarkStart w:id="4" w:name="_Toc110968022"/>
      <w:bookmarkEnd w:id="1"/>
      <w:bookmarkEnd w:id="2"/>
      <w:bookmarkEnd w:id="3"/>
      <w:r w:rsidRPr="00BD69F8">
        <w:rPr>
          <w:rFonts w:ascii="仿宋" w:eastAsia="仿宋" w:hAnsi="仿宋" w:cs="Times New Roman"/>
          <w:b/>
          <w:bCs/>
          <w:sz w:val="32"/>
          <w:szCs w:val="32"/>
        </w:rPr>
        <w:t>什么时候</w:t>
      </w:r>
      <w:r>
        <w:rPr>
          <w:rFonts w:ascii="仿宋" w:eastAsia="仿宋" w:hAnsi="仿宋" w:cs="Times New Roman"/>
          <w:b/>
          <w:bCs/>
          <w:sz w:val="32"/>
          <w:szCs w:val="32"/>
        </w:rPr>
        <w:t>期权</w:t>
      </w:r>
      <w:r w:rsidRPr="00BD69F8">
        <w:rPr>
          <w:rFonts w:ascii="仿宋" w:eastAsia="仿宋" w:hAnsi="仿宋" w:cs="Times New Roman"/>
          <w:b/>
          <w:bCs/>
          <w:sz w:val="32"/>
          <w:szCs w:val="32"/>
        </w:rPr>
        <w:t>合约到期？</w:t>
      </w:r>
      <w:r>
        <w:rPr>
          <w:rFonts w:ascii="仿宋" w:eastAsia="仿宋" w:hAnsi="仿宋" w:cs="Times New Roman"/>
          <w:b/>
          <w:bCs/>
          <w:sz w:val="32"/>
          <w:szCs w:val="32"/>
        </w:rPr>
        <w:t>期权</w:t>
      </w:r>
      <w:r w:rsidRPr="00BD69F8">
        <w:rPr>
          <w:rFonts w:ascii="仿宋" w:eastAsia="仿宋" w:hAnsi="仿宋" w:cs="Times New Roman"/>
          <w:b/>
          <w:bCs/>
          <w:sz w:val="32"/>
          <w:szCs w:val="32"/>
        </w:rPr>
        <w:t>合约到期时会发生什么？</w:t>
      </w:r>
      <w:bookmarkEnd w:id="4"/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深交所股票期权为欧式期权，</w:t>
      </w:r>
      <w:r>
        <w:rPr>
          <w:rFonts w:ascii="仿宋" w:eastAsia="仿宋" w:hAnsi="仿宋" w:cs="Times New Roman"/>
          <w:sz w:val="32"/>
          <w:szCs w:val="32"/>
        </w:rPr>
        <w:t>期权</w:t>
      </w:r>
      <w:r w:rsidRPr="00BD69F8">
        <w:rPr>
          <w:rFonts w:ascii="仿宋" w:eastAsia="仿宋" w:hAnsi="仿宋" w:cs="Times New Roman"/>
          <w:sz w:val="32"/>
          <w:szCs w:val="32"/>
        </w:rPr>
        <w:t>合约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BD69F8">
        <w:rPr>
          <w:rFonts w:ascii="仿宋" w:eastAsia="仿宋" w:hAnsi="仿宋" w:cs="Times New Roman"/>
          <w:sz w:val="32"/>
          <w:szCs w:val="32"/>
        </w:rPr>
        <w:t>行权日为到期月</w:t>
      </w:r>
      <w:r>
        <w:rPr>
          <w:rFonts w:ascii="仿宋" w:eastAsia="仿宋" w:hAnsi="仿宋" w:cs="Times New Roman"/>
          <w:sz w:val="32"/>
          <w:szCs w:val="32"/>
        </w:rPr>
        <w:t>份</w:t>
      </w:r>
      <w:r w:rsidRPr="00BD69F8">
        <w:rPr>
          <w:rFonts w:ascii="仿宋" w:eastAsia="仿宋" w:hAnsi="仿宋" w:cs="Times New Roman"/>
          <w:sz w:val="32"/>
          <w:szCs w:val="32"/>
        </w:rPr>
        <w:t>的第四个星期三（遇</w:t>
      </w:r>
      <w:r>
        <w:rPr>
          <w:rFonts w:ascii="仿宋" w:eastAsia="仿宋" w:hAnsi="仿宋" w:cs="Times New Roman"/>
          <w:sz w:val="32"/>
          <w:szCs w:val="32"/>
        </w:rPr>
        <w:t>国家法定</w:t>
      </w:r>
      <w:r w:rsidRPr="00BD69F8">
        <w:rPr>
          <w:rFonts w:ascii="仿宋" w:eastAsia="仿宋" w:hAnsi="仿宋" w:cs="Times New Roman" w:hint="eastAsia"/>
          <w:sz w:val="32"/>
          <w:szCs w:val="32"/>
        </w:rPr>
        <w:t>节假日</w:t>
      </w:r>
      <w:r>
        <w:rPr>
          <w:rFonts w:ascii="仿宋" w:eastAsia="仿宋" w:hAnsi="仿宋" w:cs="Times New Roman" w:hint="eastAsia"/>
          <w:sz w:val="32"/>
          <w:szCs w:val="32"/>
        </w:rPr>
        <w:t>、深交所休市日</w:t>
      </w:r>
      <w:r w:rsidRPr="00BD69F8">
        <w:rPr>
          <w:rFonts w:ascii="仿宋" w:eastAsia="仿宋" w:hAnsi="仿宋" w:cs="Times New Roman"/>
          <w:sz w:val="32"/>
          <w:szCs w:val="32"/>
        </w:rPr>
        <w:t>顺延</w:t>
      </w:r>
      <w:r>
        <w:rPr>
          <w:rFonts w:ascii="仿宋" w:eastAsia="仿宋" w:hAnsi="仿宋" w:cs="Times New Roman"/>
          <w:sz w:val="32"/>
          <w:szCs w:val="32"/>
        </w:rPr>
        <w:t>至次一交易日</w:t>
      </w:r>
      <w:r w:rsidRPr="00BD69F8">
        <w:rPr>
          <w:rFonts w:ascii="仿宋" w:eastAsia="仿宋" w:hAnsi="仿宋" w:cs="Times New Roman"/>
          <w:sz w:val="32"/>
          <w:szCs w:val="32"/>
        </w:rPr>
        <w:t>）。</w:t>
      </w:r>
    </w:p>
    <w:p w:rsidR="00F5542B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权利方在行权日（E日）成功行权后，</w:t>
      </w:r>
      <w:r w:rsidRPr="00BD69F8">
        <w:rPr>
          <w:rFonts w:ascii="仿宋" w:eastAsia="仿宋" w:hAnsi="仿宋" w:cs="Times New Roman" w:hint="eastAsia"/>
          <w:sz w:val="32"/>
          <w:szCs w:val="32"/>
        </w:rPr>
        <w:t>中国</w:t>
      </w:r>
      <w:r w:rsidRPr="00BD69F8">
        <w:rPr>
          <w:rFonts w:ascii="仿宋" w:eastAsia="仿宋" w:hAnsi="仿宋" w:cs="Times New Roman"/>
          <w:sz w:val="32"/>
          <w:szCs w:val="32"/>
        </w:rPr>
        <w:t>结算会在收市后汇总行权委托信息，根据业务规则对义务方进行指派，被指派的义务方需在E+1日收市前准备好足额的资金或证券，存放于指定账户内。E+1日收市后，将进行资金与证券的划转，权利方、义务方分别收到自己应得的资金或证券。E+2日，投资者可以使用行权交割所得的资金或证券。</w:t>
      </w:r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5542B" w:rsidRPr="00BD69F8" w:rsidRDefault="00F5542B" w:rsidP="00F5542B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5" w:name="_Toc110968023"/>
      <w:r w:rsidRPr="00BD69F8">
        <w:rPr>
          <w:rFonts w:ascii="仿宋" w:eastAsia="仿宋" w:hAnsi="仿宋" w:cs="Times New Roman"/>
          <w:b/>
          <w:bCs/>
          <w:sz w:val="32"/>
          <w:szCs w:val="32"/>
        </w:rPr>
        <w:t>合约临近到期时，应该选择平仓还是行权？</w:t>
      </w:r>
      <w:bookmarkEnd w:id="5"/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投资者</w:t>
      </w:r>
      <w:r w:rsidRPr="00BD69F8">
        <w:rPr>
          <w:rFonts w:ascii="仿宋" w:eastAsia="仿宋" w:hAnsi="仿宋" w:cs="Times New Roman" w:hint="eastAsia"/>
          <w:sz w:val="32"/>
          <w:szCs w:val="32"/>
        </w:rPr>
        <w:t>可</w:t>
      </w:r>
      <w:r w:rsidRPr="00BD69F8">
        <w:rPr>
          <w:rFonts w:ascii="仿宋" w:eastAsia="仿宋" w:hAnsi="仿宋" w:cs="Times New Roman"/>
          <w:sz w:val="32"/>
          <w:szCs w:val="32"/>
        </w:rPr>
        <w:t>基于标的证券的行情走势及自身交易需求，决定自己的期权持仓持有到期还是提前平仓。</w:t>
      </w:r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例如</w:t>
      </w:r>
      <w:r w:rsidRPr="00BD69F8">
        <w:rPr>
          <w:rFonts w:ascii="仿宋" w:eastAsia="仿宋" w:hAnsi="仿宋" w:cs="Times New Roman" w:hint="eastAsia"/>
          <w:sz w:val="32"/>
          <w:szCs w:val="32"/>
        </w:rPr>
        <w:t>，</w:t>
      </w:r>
      <w:r w:rsidRPr="00BD69F8">
        <w:rPr>
          <w:rFonts w:ascii="仿宋" w:eastAsia="仿宋" w:hAnsi="仿宋" w:cs="Times New Roman"/>
          <w:sz w:val="32"/>
          <w:szCs w:val="32"/>
        </w:rPr>
        <w:t>权利方预判标的证券走势对自己有利，或有标的证券的交易计划，可将权利仓持有到期</w:t>
      </w:r>
      <w:r w:rsidRPr="00BD69F8">
        <w:rPr>
          <w:rFonts w:ascii="仿宋" w:eastAsia="仿宋" w:hAnsi="仿宋" w:cs="Times New Roman" w:hint="eastAsia"/>
          <w:sz w:val="32"/>
          <w:szCs w:val="32"/>
        </w:rPr>
        <w:t>并</w:t>
      </w:r>
      <w:r w:rsidRPr="00BD69F8">
        <w:rPr>
          <w:rFonts w:ascii="仿宋" w:eastAsia="仿宋" w:hAnsi="仿宋" w:cs="Times New Roman"/>
          <w:sz w:val="32"/>
          <w:szCs w:val="32"/>
        </w:rPr>
        <w:t>提交行权委托；否则</w:t>
      </w:r>
      <w:r w:rsidRPr="00BD69F8">
        <w:rPr>
          <w:rFonts w:ascii="仿宋" w:eastAsia="仿宋" w:hAnsi="仿宋" w:cs="Times New Roman" w:hint="eastAsia"/>
          <w:sz w:val="32"/>
          <w:szCs w:val="32"/>
        </w:rPr>
        <w:t>可</w:t>
      </w:r>
      <w:r w:rsidRPr="00BD69F8">
        <w:rPr>
          <w:rFonts w:ascii="仿宋" w:eastAsia="仿宋" w:hAnsi="仿宋" w:cs="Times New Roman"/>
          <w:sz w:val="32"/>
          <w:szCs w:val="32"/>
        </w:rPr>
        <w:t>考虑择机提前平仓。义务方预判标的证券走势对自己有利</w:t>
      </w:r>
      <w:r w:rsidRPr="00BD69F8">
        <w:rPr>
          <w:rFonts w:ascii="仿宋" w:eastAsia="仿宋" w:hAnsi="仿宋" w:cs="Times New Roman" w:hint="eastAsia"/>
          <w:sz w:val="32"/>
          <w:szCs w:val="32"/>
        </w:rPr>
        <w:t>、</w:t>
      </w:r>
      <w:r w:rsidRPr="00BD69F8">
        <w:rPr>
          <w:rFonts w:ascii="仿宋" w:eastAsia="仿宋" w:hAnsi="仿宋" w:cs="Times New Roman"/>
          <w:sz w:val="32"/>
          <w:szCs w:val="32"/>
        </w:rPr>
        <w:t>权利方大概率不会行权，或者为了收取时间价值</w:t>
      </w:r>
      <w:r w:rsidRPr="00BD69F8">
        <w:rPr>
          <w:rFonts w:ascii="仿宋" w:eastAsia="仿宋" w:hAnsi="仿宋" w:cs="Times New Roman" w:hint="eastAsia"/>
          <w:sz w:val="32"/>
          <w:szCs w:val="32"/>
        </w:rPr>
        <w:t>、</w:t>
      </w:r>
      <w:r w:rsidRPr="00BD69F8">
        <w:rPr>
          <w:rFonts w:ascii="仿宋" w:eastAsia="仿宋" w:hAnsi="仿宋" w:cs="Times New Roman"/>
          <w:sz w:val="32"/>
          <w:szCs w:val="32"/>
        </w:rPr>
        <w:t>有应对权利方行权的履约能力，则可将义务仓持有到期；否则</w:t>
      </w:r>
      <w:r w:rsidRPr="00BD69F8">
        <w:rPr>
          <w:rFonts w:ascii="仿宋" w:eastAsia="仿宋" w:hAnsi="仿宋" w:cs="Times New Roman" w:hint="eastAsia"/>
          <w:sz w:val="32"/>
          <w:szCs w:val="32"/>
        </w:rPr>
        <w:t>可</w:t>
      </w:r>
      <w:r w:rsidRPr="00BD69F8">
        <w:rPr>
          <w:rFonts w:ascii="仿宋" w:eastAsia="仿宋" w:hAnsi="仿宋" w:cs="Times New Roman"/>
          <w:sz w:val="32"/>
          <w:szCs w:val="32"/>
        </w:rPr>
        <w:t>考虑择机提前平仓。</w:t>
      </w:r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 w:hint="eastAsia"/>
          <w:sz w:val="32"/>
          <w:szCs w:val="32"/>
        </w:rPr>
        <w:t>需要注意的是，如期权合约到期未行权，该合约将不再具有价值。</w:t>
      </w:r>
    </w:p>
    <w:p w:rsidR="00F5542B" w:rsidRPr="00F5542B" w:rsidRDefault="00F5542B" w:rsidP="00F5542B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F5542B">
        <w:rPr>
          <w:rFonts w:ascii="仿宋" w:eastAsia="仿宋" w:hAnsi="仿宋" w:cs="Times New Roman" w:hint="eastAsia"/>
          <w:b/>
          <w:sz w:val="32"/>
          <w:szCs w:val="32"/>
        </w:rPr>
        <w:t>【</w:t>
      </w:r>
      <w:r w:rsidRPr="00F5542B">
        <w:rPr>
          <w:rFonts w:ascii="仿宋" w:eastAsia="仿宋" w:hAnsi="仿宋" w:cs="Times New Roman"/>
          <w:b/>
          <w:sz w:val="32"/>
          <w:szCs w:val="32"/>
        </w:rPr>
        <w:t>小贴士</w:t>
      </w:r>
      <w:r w:rsidRPr="00F5542B">
        <w:rPr>
          <w:rFonts w:ascii="仿宋" w:eastAsia="仿宋" w:hAnsi="仿宋" w:cs="Times New Roman" w:hint="eastAsia"/>
          <w:b/>
          <w:sz w:val="32"/>
          <w:szCs w:val="32"/>
        </w:rPr>
        <w:t>】</w:t>
      </w:r>
    </w:p>
    <w:p w:rsidR="00F5542B" w:rsidRPr="00BD69F8" w:rsidRDefault="00F5542B" w:rsidP="00F5542B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投资者如果想提前平仓</w:t>
      </w:r>
      <w:r w:rsidRPr="00BD69F8">
        <w:rPr>
          <w:rFonts w:ascii="仿宋" w:eastAsia="仿宋" w:hAnsi="仿宋" w:cs="Times New Roman" w:hint="eastAsia"/>
          <w:sz w:val="32"/>
          <w:szCs w:val="32"/>
        </w:rPr>
        <w:t>，需要</w:t>
      </w:r>
      <w:r w:rsidRPr="00BD69F8">
        <w:rPr>
          <w:rFonts w:ascii="仿宋" w:eastAsia="仿宋" w:hAnsi="仿宋" w:cs="Times New Roman"/>
          <w:sz w:val="32"/>
          <w:szCs w:val="32"/>
        </w:rPr>
        <w:t>对比佣金成本和平仓收益喔。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（“期权入市手册”系列文章支持单位：广发证券、国泰君安证券、华泰证券、嘉实基金、易方达基金、招商证券、中信建投证券（按音序排列，排名不分先后））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5D98" w:rsidRDefault="00995CCF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F05D98" w:rsidRDefault="00995CCF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C1A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1F"/>
    <w:multiLevelType w:val="multilevel"/>
    <w:tmpl w:val="01B472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E21F1"/>
    <w:multiLevelType w:val="hybridMultilevel"/>
    <w:tmpl w:val="7AFA4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5881"/>
    <w:rsid w:val="00073B27"/>
    <w:rsid w:val="000850D4"/>
    <w:rsid w:val="000E658A"/>
    <w:rsid w:val="00146DC5"/>
    <w:rsid w:val="0020392E"/>
    <w:rsid w:val="00247FF4"/>
    <w:rsid w:val="00254873"/>
    <w:rsid w:val="00273878"/>
    <w:rsid w:val="002B4453"/>
    <w:rsid w:val="0032412C"/>
    <w:rsid w:val="003307EE"/>
    <w:rsid w:val="003B3D62"/>
    <w:rsid w:val="003E1D15"/>
    <w:rsid w:val="004352D8"/>
    <w:rsid w:val="00485D85"/>
    <w:rsid w:val="004A65EE"/>
    <w:rsid w:val="00575795"/>
    <w:rsid w:val="00590C44"/>
    <w:rsid w:val="005A5EA9"/>
    <w:rsid w:val="005E2E9D"/>
    <w:rsid w:val="00603685"/>
    <w:rsid w:val="006D73C9"/>
    <w:rsid w:val="007046F1"/>
    <w:rsid w:val="00764E15"/>
    <w:rsid w:val="007F1C7C"/>
    <w:rsid w:val="00827545"/>
    <w:rsid w:val="00872572"/>
    <w:rsid w:val="00922D35"/>
    <w:rsid w:val="00924E1A"/>
    <w:rsid w:val="00995CCF"/>
    <w:rsid w:val="00A12A83"/>
    <w:rsid w:val="00AB4FF2"/>
    <w:rsid w:val="00B44386"/>
    <w:rsid w:val="00B46E54"/>
    <w:rsid w:val="00B47BC0"/>
    <w:rsid w:val="00B51E4A"/>
    <w:rsid w:val="00BF607F"/>
    <w:rsid w:val="00C16D94"/>
    <w:rsid w:val="00CD5C62"/>
    <w:rsid w:val="00CF24AA"/>
    <w:rsid w:val="00D047F1"/>
    <w:rsid w:val="00D41A29"/>
    <w:rsid w:val="00D61301"/>
    <w:rsid w:val="00D801F4"/>
    <w:rsid w:val="00E023EA"/>
    <w:rsid w:val="00E04C3C"/>
    <w:rsid w:val="00EA54BE"/>
    <w:rsid w:val="00EC7ADB"/>
    <w:rsid w:val="00EF0751"/>
    <w:rsid w:val="00EF72FB"/>
    <w:rsid w:val="00F05D98"/>
    <w:rsid w:val="00F26F8B"/>
    <w:rsid w:val="00F5542B"/>
    <w:rsid w:val="00F64A9F"/>
    <w:rsid w:val="00FC7F84"/>
    <w:rsid w:val="00FD2CDF"/>
    <w:rsid w:val="01D8609C"/>
    <w:rsid w:val="201B7EE2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C5DAD-3625-4EFE-A2E3-9795D0E7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5</cp:revision>
  <dcterms:created xsi:type="dcterms:W3CDTF">2022-11-08T11:38:00Z</dcterms:created>
  <dcterms:modified xsi:type="dcterms:W3CDTF">2022-11-11T01:12:00Z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C8F2276712B449C58C5180BCD0267F96</vt:lpwstr>
  </property>
</Properties>
</file>