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D1" w:rsidRDefault="00D66C6E">
      <w:r>
        <w:rPr>
          <w:rFonts w:ascii="仿宋" w:eastAsia="仿宋" w:hAnsi="仿宋" w:hint="eastAsia"/>
          <w:b/>
          <w:noProof/>
          <w:sz w:val="18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margin">
                  <wp:posOffset>3997960</wp:posOffset>
                </wp:positionH>
                <wp:positionV relativeFrom="topMargin">
                  <wp:posOffset>800100</wp:posOffset>
                </wp:positionV>
                <wp:extent cx="1410970" cy="244475"/>
                <wp:effectExtent l="0" t="0" r="1778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244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5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F4ED1" w:rsidRDefault="00D66C6E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Cs w:val="21"/>
                              </w:rPr>
                              <w:t>内部使用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2" o:spid="_x0000_s1026" o:spt="202" type="#_x0000_t202" style="position:absolute;left:0pt;margin-left:404.8pt;margin-top:63pt;height:19.25pt;width:111.1pt;mso-position-horizontal-relative:page;mso-position-vertical-relative:page;z-index:251659264;mso-width-relative:page;mso-height-relative:page;" fillcolor="#FFFFFF" filled="t" stroked="t" coordsize="21600,21600" o:allowincell="f" o:gfxdata="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R5&#10;UIDaAAAACwEAAA8AAAAAAAAAAQAgAAAAIgAAAGRycy9kb3ducmV2LnhtbFBLAQIUABQAAAAIAIdO&#10;4kBDYbddIQIAAFoEAAAOAAAAAAAAAAEAIAAAACkBAABkcnMvZTJvRG9jLnhtbFBLBQYAAAAABgAG&#10;AFkBAAC8BQAAAAA=&#10;">
                <v:fill on="t" opacity="49152f" focussize="0,0"/>
                <v:stroke weight="1.5pt" color="#FF0000" miterlimit="8" joinstyle="miter"/>
                <v:imagedata o:title=""/>
                <o:lock v:ext="edit" aspectratio="f"/>
                <v:textbox inset="1mm,1mm,1mm,1mm" style="mso-fit-shape-to-text:t;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FF0000"/>
                          <w:szCs w:val="21"/>
                        </w:rPr>
                        <w:t>内部使用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F4ED1" w:rsidRDefault="005F4ED1"/>
    <w:p w:rsidR="005F4ED1" w:rsidRDefault="005F4ED1"/>
    <w:p w:rsidR="005F4ED1" w:rsidRDefault="00D66C6E">
      <w:pPr>
        <w:spacing w:line="56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深交所投教</w:t>
      </w:r>
      <w:proofErr w:type="gramStart"/>
      <w:r>
        <w:rPr>
          <w:rFonts w:ascii="方正小标宋简体" w:eastAsia="方正小标宋简体" w:hAnsi="方正小标宋简体" w:hint="eastAsia"/>
          <w:sz w:val="44"/>
        </w:rPr>
        <w:t>丨</w:t>
      </w:r>
      <w:proofErr w:type="gramEnd"/>
      <w:r>
        <w:rPr>
          <w:rFonts w:ascii="方正小标宋简体" w:eastAsia="方正小标宋简体" w:hAnsi="方正小标宋简体" w:hint="eastAsia"/>
          <w:sz w:val="44"/>
        </w:rPr>
        <w:t>期权入市手册（十八）：</w:t>
      </w:r>
      <w:r>
        <w:rPr>
          <w:rFonts w:ascii="方正小标宋简体" w:eastAsia="方正小标宋简体" w:hAnsi="方正小标宋简体"/>
          <w:sz w:val="44"/>
        </w:rPr>
        <w:br/>
      </w:r>
      <w:r>
        <w:rPr>
          <w:rFonts w:ascii="方正小标宋简体" w:eastAsia="方正小标宋简体" w:hAnsi="方正小标宋简体" w:hint="eastAsia"/>
          <w:sz w:val="44"/>
        </w:rPr>
        <w:t>期权交易实务之权利方行权注意事项</w:t>
      </w:r>
    </w:p>
    <w:p w:rsidR="005F4ED1" w:rsidRDefault="005F4ED1"/>
    <w:p w:rsidR="005F4ED1" w:rsidRDefault="005F4ED1"/>
    <w:p w:rsidR="005F4ED1" w:rsidRDefault="005F4ED1"/>
    <w:p w:rsidR="005F4ED1" w:rsidRDefault="00D66C6E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编者按：</w:t>
      </w:r>
      <w:r>
        <w:rPr>
          <w:rFonts w:ascii="仿宋" w:eastAsia="仿宋" w:hAnsi="仿宋" w:hint="eastAsia"/>
          <w:sz w:val="32"/>
        </w:rPr>
        <w:t>2022</w:t>
      </w:r>
      <w:r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/>
          <w:sz w:val="32"/>
        </w:rPr>
        <w:t>11</w:t>
      </w:r>
      <w:r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/>
          <w:sz w:val="32"/>
        </w:rPr>
        <w:t>25</w:t>
      </w:r>
      <w:r>
        <w:rPr>
          <w:rFonts w:ascii="仿宋" w:eastAsia="仿宋" w:hAnsi="仿宋" w:hint="eastAsia"/>
          <w:sz w:val="32"/>
        </w:rPr>
        <w:t>日，</w:t>
      </w:r>
      <w:r>
        <w:rPr>
          <w:rFonts w:ascii="仿宋" w:eastAsia="仿宋" w:hAnsi="仿宋" w:hint="eastAsia"/>
          <w:sz w:val="32"/>
        </w:rPr>
        <w:t>中国</w:t>
      </w:r>
      <w:r>
        <w:rPr>
          <w:rFonts w:ascii="仿宋" w:eastAsia="仿宋" w:hAnsi="仿宋" w:hint="eastAsia"/>
          <w:sz w:val="32"/>
        </w:rPr>
        <w:t>证监会宣布启动深证</w:t>
      </w:r>
      <w:r>
        <w:rPr>
          <w:rFonts w:ascii="仿宋" w:eastAsia="仿宋" w:hAnsi="仿宋" w:hint="eastAsia"/>
          <w:sz w:val="32"/>
        </w:rPr>
        <w:t>100 ETF</w:t>
      </w:r>
      <w:r>
        <w:rPr>
          <w:rFonts w:ascii="仿宋" w:eastAsia="仿宋" w:hAnsi="仿宋" w:hint="eastAsia"/>
          <w:sz w:val="32"/>
        </w:rPr>
        <w:t>期权上市工作</w:t>
      </w:r>
      <w:r>
        <w:rPr>
          <w:rFonts w:ascii="仿宋" w:eastAsia="仿宋" w:hAnsi="仿宋" w:hint="eastAsia"/>
          <w:sz w:val="32"/>
        </w:rPr>
        <w:t>，深市</w:t>
      </w:r>
      <w:r>
        <w:rPr>
          <w:rFonts w:ascii="仿宋" w:eastAsia="仿宋" w:hAnsi="仿宋" w:hint="eastAsia"/>
          <w:sz w:val="32"/>
        </w:rPr>
        <w:t>ETF</w:t>
      </w:r>
      <w:r>
        <w:rPr>
          <w:rFonts w:ascii="仿宋" w:eastAsia="仿宋" w:hAnsi="仿宋" w:hint="eastAsia"/>
          <w:sz w:val="32"/>
        </w:rPr>
        <w:t>期权再添</w:t>
      </w:r>
      <w:r>
        <w:rPr>
          <w:rFonts w:ascii="仿宋" w:eastAsia="仿宋" w:hAnsi="仿宋" w:hint="eastAsia"/>
          <w:sz w:val="32"/>
        </w:rPr>
        <w:t>新品种</w:t>
      </w:r>
      <w:r>
        <w:rPr>
          <w:rFonts w:ascii="仿宋" w:eastAsia="仿宋" w:hAnsi="仿宋" w:hint="eastAsia"/>
          <w:sz w:val="32"/>
        </w:rPr>
        <w:t>。</w:t>
      </w:r>
      <w:r>
        <w:rPr>
          <w:rFonts w:ascii="仿宋" w:eastAsia="仿宋" w:hAnsi="仿宋" w:hint="eastAsia"/>
          <w:sz w:val="32"/>
        </w:rPr>
        <w:t>为帮助投资者系统了解期权产品特征、理性参与期权交易、有效提升风险管理能力，深交所联合市场机构推出“期权入市手册”系列连载文章。今天是第</w:t>
      </w:r>
      <w:r>
        <w:rPr>
          <w:rFonts w:ascii="仿宋" w:eastAsia="仿宋" w:hAnsi="仿宋" w:hint="eastAsia"/>
          <w:sz w:val="32"/>
        </w:rPr>
        <w:t>18</w:t>
      </w:r>
      <w:bookmarkStart w:id="0" w:name="_GoBack"/>
      <w:bookmarkEnd w:id="0"/>
      <w:r>
        <w:rPr>
          <w:rFonts w:ascii="仿宋" w:eastAsia="仿宋" w:hAnsi="仿宋" w:hint="eastAsia"/>
          <w:sz w:val="32"/>
        </w:rPr>
        <w:t>期，让我们了解期权权利方行权时的注意事项吧！</w:t>
      </w:r>
    </w:p>
    <w:p w:rsidR="005F4ED1" w:rsidRDefault="005F4ED1">
      <w:pPr>
        <w:spacing w:line="560" w:lineRule="exact"/>
        <w:rPr>
          <w:rFonts w:ascii="仿宋" w:eastAsia="仿宋" w:hAnsi="仿宋"/>
          <w:sz w:val="32"/>
        </w:rPr>
      </w:pPr>
    </w:p>
    <w:p w:rsidR="005F4ED1" w:rsidRDefault="00D66C6E">
      <w:pPr>
        <w:keepNext/>
        <w:keepLines/>
        <w:numPr>
          <w:ilvl w:val="0"/>
          <w:numId w:val="1"/>
        </w:numPr>
        <w:spacing w:line="560" w:lineRule="exact"/>
        <w:ind w:left="0" w:firstLineChars="200" w:firstLine="643"/>
        <w:outlineLvl w:val="2"/>
        <w:rPr>
          <w:rFonts w:ascii="仿宋" w:eastAsia="仿宋" w:hAnsi="仿宋" w:cs="Times New Roman"/>
          <w:b/>
          <w:bCs/>
          <w:sz w:val="32"/>
          <w:szCs w:val="32"/>
        </w:rPr>
      </w:pPr>
      <w:bookmarkStart w:id="1" w:name="_Toc82449725"/>
      <w:bookmarkStart w:id="2" w:name="_Toc82449724"/>
      <w:bookmarkStart w:id="3" w:name="_Toc82449723"/>
      <w:bookmarkStart w:id="4" w:name="_Toc110968024"/>
      <w:bookmarkEnd w:id="1"/>
      <w:bookmarkEnd w:id="2"/>
      <w:bookmarkEnd w:id="3"/>
      <w:r>
        <w:rPr>
          <w:rFonts w:ascii="仿宋" w:eastAsia="仿宋" w:hAnsi="仿宋" w:cs="Times New Roman"/>
          <w:b/>
          <w:bCs/>
          <w:sz w:val="32"/>
          <w:szCs w:val="32"/>
        </w:rPr>
        <w:t>期权权利方行权时应该注意什么？</w:t>
      </w:r>
      <w:bookmarkEnd w:id="4"/>
    </w:p>
    <w:p w:rsidR="005F4ED1" w:rsidRDefault="00D66C6E">
      <w:pPr>
        <w:spacing w:line="56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/>
          <w:b/>
          <w:sz w:val="32"/>
          <w:szCs w:val="32"/>
        </w:rPr>
        <w:t>（</w:t>
      </w:r>
      <w:r>
        <w:rPr>
          <w:rFonts w:ascii="仿宋" w:eastAsia="仿宋" w:hAnsi="仿宋" w:cs="Times New Roman"/>
          <w:b/>
          <w:sz w:val="32"/>
          <w:szCs w:val="32"/>
        </w:rPr>
        <w:t>1</w:t>
      </w:r>
      <w:r>
        <w:rPr>
          <w:rFonts w:ascii="仿宋" w:eastAsia="仿宋" w:hAnsi="仿宋" w:cs="Times New Roman"/>
          <w:b/>
          <w:sz w:val="32"/>
          <w:szCs w:val="32"/>
        </w:rPr>
        <w:t>）是否行权</w:t>
      </w:r>
    </w:p>
    <w:p w:rsidR="005F4ED1" w:rsidRDefault="00D66C6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认购期权的权利方能够以约定的价格购买标的证券，以低于市价的价格买入证券是有利的，</w:t>
      </w:r>
      <w:r>
        <w:rPr>
          <w:rFonts w:ascii="仿宋" w:eastAsia="仿宋" w:hAnsi="仿宋" w:cs="Times New Roman" w:hint="eastAsia"/>
          <w:sz w:val="32"/>
          <w:szCs w:val="32"/>
        </w:rPr>
        <w:t>可考虑</w:t>
      </w:r>
      <w:r>
        <w:rPr>
          <w:rFonts w:ascii="仿宋" w:eastAsia="仿宋" w:hAnsi="仿宋" w:cs="Times New Roman"/>
          <w:sz w:val="32"/>
          <w:szCs w:val="32"/>
        </w:rPr>
        <w:t>提交行权委托</w:t>
      </w:r>
      <w:r>
        <w:rPr>
          <w:rFonts w:ascii="仿宋" w:eastAsia="仿宋" w:hAnsi="仿宋" w:cs="Times New Roman" w:hint="eastAsia"/>
          <w:sz w:val="32"/>
          <w:szCs w:val="32"/>
        </w:rPr>
        <w:t>；</w:t>
      </w:r>
      <w:r>
        <w:rPr>
          <w:rFonts w:ascii="仿宋" w:eastAsia="仿宋" w:hAnsi="仿宋" w:cs="Times New Roman"/>
          <w:sz w:val="32"/>
          <w:szCs w:val="32"/>
        </w:rPr>
        <w:t>认沽期权的权利方能够以约定的价格卖出标的证券，以高于市价的价格卖出证券是有利的，</w:t>
      </w:r>
      <w:r>
        <w:rPr>
          <w:rFonts w:ascii="仿宋" w:eastAsia="仿宋" w:hAnsi="仿宋" w:cs="Times New Roman" w:hint="eastAsia"/>
          <w:sz w:val="32"/>
          <w:szCs w:val="32"/>
        </w:rPr>
        <w:t>可考虑</w:t>
      </w:r>
      <w:r>
        <w:rPr>
          <w:rFonts w:ascii="仿宋" w:eastAsia="仿宋" w:hAnsi="仿宋" w:cs="Times New Roman"/>
          <w:sz w:val="32"/>
          <w:szCs w:val="32"/>
        </w:rPr>
        <w:t>提交行权委托。</w:t>
      </w:r>
    </w:p>
    <w:p w:rsidR="005F4ED1" w:rsidRDefault="00D66C6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需要注意的是，从提交行权委托到资金证券交割存在时间差，这个时间差内，行情存在</w:t>
      </w:r>
      <w:r>
        <w:rPr>
          <w:rFonts w:ascii="仿宋" w:eastAsia="仿宋" w:hAnsi="仿宋" w:cs="Times New Roman"/>
          <w:sz w:val="32"/>
          <w:szCs w:val="32"/>
        </w:rPr>
        <w:t>向不利方向变化的可能。</w:t>
      </w:r>
      <w:r>
        <w:rPr>
          <w:rFonts w:ascii="仿宋" w:eastAsia="仿宋" w:hAnsi="仿宋" w:cs="Times New Roman" w:hint="eastAsia"/>
          <w:sz w:val="32"/>
          <w:szCs w:val="32"/>
        </w:rPr>
        <w:t>E</w:t>
      </w:r>
      <w:r>
        <w:rPr>
          <w:rFonts w:ascii="仿宋" w:eastAsia="仿宋" w:hAnsi="仿宋" w:cs="Times New Roman"/>
          <w:sz w:val="32"/>
          <w:szCs w:val="32"/>
        </w:rPr>
        <w:t>日为行权日，投资者提交行权委托</w:t>
      </w:r>
      <w:r>
        <w:rPr>
          <w:rFonts w:ascii="仿宋" w:eastAsia="仿宋" w:hAnsi="仿宋" w:cs="Times New Roman" w:hint="eastAsia"/>
          <w:sz w:val="32"/>
          <w:szCs w:val="32"/>
        </w:rPr>
        <w:t>；</w:t>
      </w:r>
      <w:r>
        <w:rPr>
          <w:rFonts w:ascii="仿宋" w:eastAsia="仿宋" w:hAnsi="仿宋" w:cs="Times New Roman"/>
          <w:sz w:val="32"/>
          <w:szCs w:val="32"/>
        </w:rPr>
        <w:t>E</w:t>
      </w:r>
      <w:r>
        <w:rPr>
          <w:rFonts w:ascii="仿宋" w:eastAsia="仿宋" w:hAnsi="仿宋" w:cs="Times New Roman" w:hint="eastAsia"/>
          <w:sz w:val="32"/>
          <w:szCs w:val="32"/>
        </w:rPr>
        <w:t>+</w:t>
      </w:r>
      <w:r>
        <w:rPr>
          <w:rFonts w:ascii="仿宋" w:eastAsia="仿宋" w:hAnsi="仿宋" w:cs="Times New Roman"/>
          <w:sz w:val="32"/>
          <w:szCs w:val="32"/>
        </w:rPr>
        <w:t>1</w:t>
      </w:r>
      <w:r>
        <w:rPr>
          <w:rFonts w:ascii="仿宋" w:eastAsia="仿宋" w:hAnsi="仿宋" w:cs="Times New Roman"/>
          <w:sz w:val="32"/>
          <w:szCs w:val="32"/>
        </w:rPr>
        <w:t>日收市后，行权所涉及的资金、证券划转完毕</w:t>
      </w:r>
      <w:r>
        <w:rPr>
          <w:rFonts w:ascii="仿宋" w:eastAsia="仿宋" w:hAnsi="仿宋" w:cs="Times New Roman" w:hint="eastAsia"/>
          <w:sz w:val="32"/>
          <w:szCs w:val="32"/>
        </w:rPr>
        <w:t>；</w:t>
      </w:r>
      <w:r>
        <w:rPr>
          <w:rFonts w:ascii="仿宋" w:eastAsia="仿宋" w:hAnsi="仿宋" w:cs="Times New Roman"/>
          <w:sz w:val="32"/>
          <w:szCs w:val="32"/>
        </w:rPr>
        <w:t>E</w:t>
      </w:r>
      <w:r>
        <w:rPr>
          <w:rFonts w:ascii="仿宋" w:eastAsia="仿宋" w:hAnsi="仿宋" w:cs="Times New Roman" w:hint="eastAsia"/>
          <w:sz w:val="32"/>
          <w:szCs w:val="32"/>
        </w:rPr>
        <w:t>+</w:t>
      </w:r>
      <w:r>
        <w:rPr>
          <w:rFonts w:ascii="仿宋" w:eastAsia="仿宋" w:hAnsi="仿宋" w:cs="Times New Roman"/>
          <w:sz w:val="32"/>
          <w:szCs w:val="32"/>
        </w:rPr>
        <w:t>2</w:t>
      </w:r>
      <w:r>
        <w:rPr>
          <w:rFonts w:ascii="仿宋" w:eastAsia="仿宋" w:hAnsi="仿宋" w:cs="Times New Roman"/>
          <w:sz w:val="32"/>
          <w:szCs w:val="32"/>
        </w:rPr>
        <w:t>日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/>
          <w:sz w:val="32"/>
          <w:szCs w:val="32"/>
        </w:rPr>
        <w:t>投资者</w:t>
      </w:r>
      <w:r>
        <w:rPr>
          <w:rFonts w:ascii="仿宋" w:eastAsia="仿宋" w:hAnsi="仿宋" w:cs="Times New Roman" w:hint="eastAsia"/>
          <w:sz w:val="32"/>
          <w:szCs w:val="32"/>
        </w:rPr>
        <w:t>才</w:t>
      </w:r>
      <w:r>
        <w:rPr>
          <w:rFonts w:ascii="仿宋" w:eastAsia="仿宋" w:hAnsi="仿宋" w:cs="Times New Roman"/>
          <w:sz w:val="32"/>
          <w:szCs w:val="32"/>
        </w:rPr>
        <w:t>能够实际使用行权所获得的资金或证券。</w:t>
      </w:r>
    </w:p>
    <w:p w:rsidR="005F4ED1" w:rsidRDefault="00D66C6E">
      <w:pPr>
        <w:spacing w:line="56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/>
          <w:b/>
          <w:sz w:val="32"/>
          <w:szCs w:val="32"/>
        </w:rPr>
        <w:t>（</w:t>
      </w:r>
      <w:r>
        <w:rPr>
          <w:rFonts w:ascii="仿宋" w:eastAsia="仿宋" w:hAnsi="仿宋" w:cs="Times New Roman"/>
          <w:b/>
          <w:sz w:val="32"/>
          <w:szCs w:val="32"/>
        </w:rPr>
        <w:t>2</w:t>
      </w:r>
      <w:r>
        <w:rPr>
          <w:rFonts w:ascii="仿宋" w:eastAsia="仿宋" w:hAnsi="仿宋" w:cs="Times New Roman"/>
          <w:b/>
          <w:sz w:val="32"/>
          <w:szCs w:val="32"/>
        </w:rPr>
        <w:t>）是否有行权所需资金或证券</w:t>
      </w:r>
    </w:p>
    <w:p w:rsidR="005F4ED1" w:rsidRDefault="00D66C6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lastRenderedPageBreak/>
        <w:t>认购期权权利方需要准备足额资金，认沽期权权利方需要准备足额证券，只有资金或证券足额存在指定账户内且处于可用状态，行权才会成功。</w:t>
      </w:r>
    </w:p>
    <w:p w:rsidR="005F4ED1" w:rsidRDefault="00D66C6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需要解释的是</w:t>
      </w:r>
      <w:r>
        <w:rPr>
          <w:rFonts w:ascii="仿宋" w:eastAsia="仿宋" w:hAnsi="仿宋" w:cs="Times New Roman" w:hint="eastAsia"/>
          <w:sz w:val="32"/>
          <w:szCs w:val="32"/>
        </w:rPr>
        <w:t>“</w:t>
      </w:r>
      <w:r>
        <w:rPr>
          <w:rFonts w:ascii="仿宋" w:eastAsia="仿宋" w:hAnsi="仿宋" w:cs="Times New Roman"/>
          <w:sz w:val="32"/>
          <w:szCs w:val="32"/>
        </w:rPr>
        <w:t>指定账户</w:t>
      </w:r>
      <w:r>
        <w:rPr>
          <w:rFonts w:ascii="仿宋" w:eastAsia="仿宋" w:hAnsi="仿宋" w:cs="Times New Roman" w:hint="eastAsia"/>
          <w:sz w:val="32"/>
          <w:szCs w:val="32"/>
        </w:rPr>
        <w:t>”</w:t>
      </w:r>
      <w:r>
        <w:rPr>
          <w:rFonts w:ascii="仿宋" w:eastAsia="仿宋" w:hAnsi="仿宋" w:cs="Times New Roman"/>
          <w:sz w:val="32"/>
          <w:szCs w:val="32"/>
        </w:rPr>
        <w:t>这一概念。投资者可能会在证券公司开立多个资金账户，如</w:t>
      </w:r>
      <w:r>
        <w:rPr>
          <w:rFonts w:ascii="仿宋" w:eastAsia="仿宋" w:hAnsi="仿宋" w:cs="Times New Roman" w:hint="eastAsia"/>
          <w:sz w:val="32"/>
          <w:szCs w:val="32"/>
        </w:rPr>
        <w:t>A</w:t>
      </w:r>
      <w:r>
        <w:rPr>
          <w:rFonts w:ascii="仿宋" w:eastAsia="仿宋" w:hAnsi="仿宋" w:cs="Times New Roman"/>
          <w:sz w:val="32"/>
          <w:szCs w:val="32"/>
        </w:rPr>
        <w:t>股资金账户、两融资金账户、衍生</w:t>
      </w:r>
      <w:proofErr w:type="gramStart"/>
      <w:r>
        <w:rPr>
          <w:rFonts w:ascii="仿宋" w:eastAsia="仿宋" w:hAnsi="仿宋" w:cs="Times New Roman"/>
          <w:sz w:val="32"/>
          <w:szCs w:val="32"/>
        </w:rPr>
        <w:t>品资金</w:t>
      </w:r>
      <w:proofErr w:type="gramEnd"/>
      <w:r>
        <w:rPr>
          <w:rFonts w:ascii="仿宋" w:eastAsia="仿宋" w:hAnsi="仿宋" w:cs="Times New Roman"/>
          <w:sz w:val="32"/>
          <w:szCs w:val="32"/>
        </w:rPr>
        <w:t>账户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  <w:r>
        <w:rPr>
          <w:rFonts w:ascii="仿宋" w:eastAsia="仿宋" w:hAnsi="仿宋" w:cs="Times New Roman"/>
          <w:sz w:val="32"/>
          <w:szCs w:val="32"/>
        </w:rPr>
        <w:t>权利方用于行权</w:t>
      </w:r>
      <w:r>
        <w:rPr>
          <w:rFonts w:ascii="仿宋" w:eastAsia="仿宋" w:hAnsi="仿宋" w:cs="Times New Roman" w:hint="eastAsia"/>
          <w:sz w:val="32"/>
          <w:szCs w:val="32"/>
        </w:rPr>
        <w:t>的</w:t>
      </w:r>
      <w:r>
        <w:rPr>
          <w:rFonts w:ascii="仿宋" w:eastAsia="仿宋" w:hAnsi="仿宋" w:cs="Times New Roman"/>
          <w:sz w:val="32"/>
          <w:szCs w:val="32"/>
        </w:rPr>
        <w:t>资金需足额存在衍生</w:t>
      </w:r>
      <w:proofErr w:type="gramStart"/>
      <w:r>
        <w:rPr>
          <w:rFonts w:ascii="仿宋" w:eastAsia="仿宋" w:hAnsi="仿宋" w:cs="Times New Roman"/>
          <w:sz w:val="32"/>
          <w:szCs w:val="32"/>
        </w:rPr>
        <w:t>品资金</w:t>
      </w:r>
      <w:proofErr w:type="gramEnd"/>
      <w:r>
        <w:rPr>
          <w:rFonts w:ascii="仿宋" w:eastAsia="仿宋" w:hAnsi="仿宋" w:cs="Times New Roman"/>
          <w:sz w:val="32"/>
          <w:szCs w:val="32"/>
        </w:rPr>
        <w:t>账户内，非衍生</w:t>
      </w:r>
      <w:proofErr w:type="gramStart"/>
      <w:r>
        <w:rPr>
          <w:rFonts w:ascii="仿宋" w:eastAsia="仿宋" w:hAnsi="仿宋" w:cs="Times New Roman"/>
          <w:sz w:val="32"/>
          <w:szCs w:val="32"/>
        </w:rPr>
        <w:t>品资金</w:t>
      </w:r>
      <w:proofErr w:type="gramEnd"/>
      <w:r>
        <w:rPr>
          <w:rFonts w:ascii="仿宋" w:eastAsia="仿宋" w:hAnsi="仿宋" w:cs="Times New Roman"/>
          <w:sz w:val="32"/>
          <w:szCs w:val="32"/>
        </w:rPr>
        <w:t>账户（比如</w:t>
      </w:r>
      <w:r>
        <w:rPr>
          <w:rFonts w:ascii="仿宋" w:eastAsia="仿宋" w:hAnsi="仿宋" w:cs="Times New Roman"/>
          <w:sz w:val="32"/>
          <w:szCs w:val="32"/>
        </w:rPr>
        <w:t>A</w:t>
      </w:r>
      <w:r>
        <w:rPr>
          <w:rFonts w:ascii="仿宋" w:eastAsia="仿宋" w:hAnsi="仿宋" w:cs="Times New Roman"/>
          <w:sz w:val="32"/>
          <w:szCs w:val="32"/>
        </w:rPr>
        <w:t>股资金账户、两融资金账户）所存资金不可用于期权交易、行权。</w:t>
      </w:r>
    </w:p>
    <w:p w:rsidR="005F4ED1" w:rsidRDefault="00D66C6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投资者也可能会在证券公司开立多个</w:t>
      </w:r>
      <w:r>
        <w:rPr>
          <w:rFonts w:ascii="仿宋" w:eastAsia="仿宋" w:hAnsi="仿宋" w:cs="Times New Roman"/>
          <w:sz w:val="32"/>
          <w:szCs w:val="32"/>
        </w:rPr>
        <w:t>A</w:t>
      </w:r>
      <w:r>
        <w:rPr>
          <w:rFonts w:ascii="仿宋" w:eastAsia="仿宋" w:hAnsi="仿宋" w:cs="Times New Roman"/>
          <w:sz w:val="32"/>
          <w:szCs w:val="32"/>
        </w:rPr>
        <w:t>股账户，权利方用于行权</w:t>
      </w:r>
      <w:r>
        <w:rPr>
          <w:rFonts w:ascii="仿宋" w:eastAsia="仿宋" w:hAnsi="仿宋" w:cs="Times New Roman" w:hint="eastAsia"/>
          <w:sz w:val="32"/>
          <w:szCs w:val="32"/>
        </w:rPr>
        <w:t>的</w:t>
      </w:r>
      <w:r>
        <w:rPr>
          <w:rFonts w:ascii="仿宋" w:eastAsia="仿宋" w:hAnsi="仿宋" w:cs="Times New Roman"/>
          <w:sz w:val="32"/>
          <w:szCs w:val="32"/>
        </w:rPr>
        <w:t>证券需足额存在衍生品合约账户所对应的</w:t>
      </w:r>
      <w:r>
        <w:rPr>
          <w:rFonts w:ascii="仿宋" w:eastAsia="仿宋" w:hAnsi="仿宋" w:cs="Times New Roman"/>
          <w:sz w:val="32"/>
          <w:szCs w:val="32"/>
        </w:rPr>
        <w:t>A</w:t>
      </w:r>
      <w:r>
        <w:rPr>
          <w:rFonts w:ascii="仿宋" w:eastAsia="仿宋" w:hAnsi="仿宋" w:cs="Times New Roman"/>
          <w:sz w:val="32"/>
          <w:szCs w:val="32"/>
        </w:rPr>
        <w:t>股账户内。</w:t>
      </w:r>
    </w:p>
    <w:p w:rsidR="005F4ED1" w:rsidRDefault="00D66C6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这是为什么呢？投资者开立衍生品合约账户进行期权交易，需使用</w:t>
      </w:r>
      <w:r>
        <w:rPr>
          <w:rFonts w:ascii="仿宋" w:eastAsia="仿宋" w:hAnsi="仿宋" w:cs="Times New Roman"/>
          <w:sz w:val="32"/>
          <w:szCs w:val="32"/>
        </w:rPr>
        <w:t>A</w:t>
      </w:r>
      <w:r>
        <w:rPr>
          <w:rFonts w:ascii="仿宋" w:eastAsia="仿宋" w:hAnsi="仿宋" w:cs="Times New Roman"/>
          <w:sz w:val="32"/>
          <w:szCs w:val="32"/>
        </w:rPr>
        <w:t>股账户进行配号。深市衍生品合约账户账号编制规则为选定的深</w:t>
      </w:r>
      <w:r>
        <w:rPr>
          <w:rFonts w:ascii="仿宋" w:eastAsia="仿宋" w:hAnsi="仿宋" w:cs="Times New Roman"/>
          <w:sz w:val="32"/>
          <w:szCs w:val="32"/>
        </w:rPr>
        <w:t>A</w:t>
      </w:r>
      <w:r>
        <w:rPr>
          <w:rFonts w:ascii="仿宋" w:eastAsia="仿宋" w:hAnsi="仿宋" w:cs="Times New Roman"/>
          <w:sz w:val="32"/>
          <w:szCs w:val="32"/>
        </w:rPr>
        <w:t>股东号</w:t>
      </w:r>
      <w:r>
        <w:rPr>
          <w:rFonts w:ascii="仿宋" w:eastAsia="仿宋" w:hAnsi="仿宋" w:cs="Times New Roman"/>
          <w:sz w:val="32"/>
          <w:szCs w:val="32"/>
        </w:rPr>
        <w:t>+</w:t>
      </w:r>
      <w:r>
        <w:rPr>
          <w:rFonts w:ascii="仿宋" w:eastAsia="仿宋" w:hAnsi="仿宋" w:cs="Times New Roman"/>
          <w:sz w:val="32"/>
          <w:szCs w:val="32"/>
        </w:rPr>
        <w:t>所在</w:t>
      </w:r>
      <w:r>
        <w:rPr>
          <w:rFonts w:ascii="仿宋" w:eastAsia="仿宋" w:hAnsi="仿宋" w:cs="Times New Roman" w:hint="eastAsia"/>
          <w:sz w:val="32"/>
          <w:szCs w:val="32"/>
        </w:rPr>
        <w:t>期权</w:t>
      </w:r>
      <w:r>
        <w:rPr>
          <w:rFonts w:ascii="仿宋" w:eastAsia="仿宋" w:hAnsi="仿宋" w:cs="Times New Roman"/>
          <w:sz w:val="32"/>
          <w:szCs w:val="32"/>
        </w:rPr>
        <w:t>经营机构</w:t>
      </w:r>
      <w:r>
        <w:rPr>
          <w:rFonts w:ascii="仿宋" w:eastAsia="仿宋" w:hAnsi="仿宋" w:cs="Times New Roman" w:hint="eastAsia"/>
          <w:sz w:val="32"/>
          <w:szCs w:val="32"/>
        </w:rPr>
        <w:t>的结算账号</w:t>
      </w:r>
      <w:r>
        <w:rPr>
          <w:rFonts w:ascii="仿宋" w:eastAsia="仿宋" w:hAnsi="仿宋" w:cs="Times New Roman"/>
          <w:sz w:val="32"/>
          <w:szCs w:val="32"/>
        </w:rPr>
        <w:t>，例如，投资者</w:t>
      </w:r>
      <w:r>
        <w:rPr>
          <w:rFonts w:ascii="仿宋" w:eastAsia="仿宋" w:hAnsi="仿宋" w:cs="Times New Roman"/>
          <w:sz w:val="32"/>
          <w:szCs w:val="32"/>
        </w:rPr>
        <w:t>A</w:t>
      </w:r>
      <w:r>
        <w:rPr>
          <w:rFonts w:ascii="仿宋" w:eastAsia="仿宋" w:hAnsi="仿宋" w:cs="Times New Roman"/>
          <w:sz w:val="32"/>
          <w:szCs w:val="32"/>
        </w:rPr>
        <w:t>股账户为</w:t>
      </w:r>
      <w:r>
        <w:rPr>
          <w:rFonts w:ascii="仿宋" w:eastAsia="仿宋" w:hAnsi="仿宋" w:cs="Times New Roman"/>
          <w:sz w:val="32"/>
          <w:szCs w:val="32"/>
        </w:rPr>
        <w:t>0200080001</w:t>
      </w:r>
      <w:r>
        <w:rPr>
          <w:rFonts w:ascii="仿宋" w:eastAsia="仿宋" w:hAnsi="仿宋" w:cs="Times New Roman"/>
          <w:sz w:val="32"/>
          <w:szCs w:val="32"/>
        </w:rPr>
        <w:t>，所在</w:t>
      </w:r>
      <w:r>
        <w:rPr>
          <w:rFonts w:ascii="仿宋" w:eastAsia="仿宋" w:hAnsi="仿宋" w:cs="Times New Roman" w:hint="eastAsia"/>
          <w:sz w:val="32"/>
          <w:szCs w:val="32"/>
        </w:rPr>
        <w:t>期权</w:t>
      </w:r>
      <w:r>
        <w:rPr>
          <w:rFonts w:ascii="仿宋" w:eastAsia="仿宋" w:hAnsi="仿宋" w:cs="Times New Roman"/>
          <w:sz w:val="32"/>
          <w:szCs w:val="32"/>
        </w:rPr>
        <w:t>经营机构</w:t>
      </w:r>
      <w:r>
        <w:rPr>
          <w:rFonts w:ascii="仿宋" w:eastAsia="仿宋" w:hAnsi="仿宋" w:cs="Times New Roman" w:hint="eastAsia"/>
          <w:sz w:val="32"/>
          <w:szCs w:val="32"/>
        </w:rPr>
        <w:t>的结算账号</w:t>
      </w:r>
      <w:r>
        <w:rPr>
          <w:rFonts w:ascii="仿宋" w:eastAsia="仿宋" w:hAnsi="仿宋" w:cs="Times New Roman"/>
          <w:sz w:val="32"/>
          <w:szCs w:val="32"/>
        </w:rPr>
        <w:t>为</w:t>
      </w:r>
      <w:r>
        <w:rPr>
          <w:rFonts w:ascii="仿宋" w:eastAsia="仿宋" w:hAnsi="仿宋" w:cs="Times New Roman"/>
          <w:sz w:val="32"/>
          <w:szCs w:val="32"/>
        </w:rPr>
        <w:t>999001</w:t>
      </w:r>
      <w:r>
        <w:rPr>
          <w:rFonts w:ascii="仿宋" w:eastAsia="仿宋" w:hAnsi="仿宋" w:cs="Times New Roman"/>
          <w:sz w:val="32"/>
          <w:szCs w:val="32"/>
        </w:rPr>
        <w:t>，则配号所开立的深市衍生品合约账户为</w:t>
      </w:r>
      <w:r>
        <w:rPr>
          <w:rFonts w:ascii="仿宋" w:eastAsia="仿宋" w:hAnsi="仿宋" w:cs="Times New Roman"/>
          <w:sz w:val="32"/>
          <w:szCs w:val="32"/>
        </w:rPr>
        <w:t>0200080</w:t>
      </w:r>
      <w:r>
        <w:rPr>
          <w:rFonts w:ascii="仿宋" w:eastAsia="仿宋" w:hAnsi="仿宋" w:cs="Times New Roman"/>
          <w:sz w:val="32"/>
          <w:szCs w:val="32"/>
        </w:rPr>
        <w:t>001999001</w:t>
      </w:r>
      <w:r>
        <w:rPr>
          <w:rFonts w:ascii="仿宋" w:eastAsia="仿宋" w:hAnsi="仿宋" w:cs="Times New Roman"/>
          <w:sz w:val="32"/>
          <w:szCs w:val="32"/>
        </w:rPr>
        <w:t>，行权所涉及的证券需保存在</w:t>
      </w:r>
      <w:r>
        <w:rPr>
          <w:rFonts w:ascii="仿宋" w:eastAsia="仿宋" w:hAnsi="仿宋" w:cs="Times New Roman"/>
          <w:sz w:val="32"/>
          <w:szCs w:val="32"/>
        </w:rPr>
        <w:t>0200080001</w:t>
      </w:r>
      <w:r>
        <w:rPr>
          <w:rFonts w:ascii="仿宋" w:eastAsia="仿宋" w:hAnsi="仿宋" w:cs="Times New Roman"/>
          <w:sz w:val="32"/>
          <w:szCs w:val="32"/>
        </w:rPr>
        <w:t>内，保存在投资者名下的其他</w:t>
      </w:r>
      <w:r>
        <w:rPr>
          <w:rFonts w:ascii="仿宋" w:eastAsia="仿宋" w:hAnsi="仿宋" w:cs="Times New Roman"/>
          <w:sz w:val="32"/>
          <w:szCs w:val="32"/>
        </w:rPr>
        <w:t>A</w:t>
      </w:r>
      <w:r>
        <w:rPr>
          <w:rFonts w:ascii="仿宋" w:eastAsia="仿宋" w:hAnsi="仿宋" w:cs="Times New Roman"/>
          <w:sz w:val="32"/>
          <w:szCs w:val="32"/>
        </w:rPr>
        <w:t>股账户（如</w:t>
      </w:r>
      <w:r>
        <w:rPr>
          <w:rFonts w:ascii="仿宋" w:eastAsia="仿宋" w:hAnsi="仿宋" w:cs="Times New Roman"/>
          <w:sz w:val="32"/>
          <w:szCs w:val="32"/>
        </w:rPr>
        <w:t>0200080002</w:t>
      </w:r>
      <w:r>
        <w:rPr>
          <w:rFonts w:ascii="仿宋" w:eastAsia="仿宋" w:hAnsi="仿宋" w:cs="Times New Roman"/>
          <w:sz w:val="32"/>
          <w:szCs w:val="32"/>
        </w:rPr>
        <w:t>、</w:t>
      </w:r>
      <w:r>
        <w:rPr>
          <w:rFonts w:ascii="仿宋" w:eastAsia="仿宋" w:hAnsi="仿宋" w:cs="Times New Roman"/>
          <w:sz w:val="32"/>
          <w:szCs w:val="32"/>
        </w:rPr>
        <w:t>0200080003</w:t>
      </w:r>
      <w:r>
        <w:rPr>
          <w:rFonts w:ascii="仿宋" w:eastAsia="仿宋" w:hAnsi="仿宋" w:cs="Times New Roman"/>
          <w:sz w:val="32"/>
          <w:szCs w:val="32"/>
        </w:rPr>
        <w:t>）或是融资融券账户内都是无法参与行权交收的。</w:t>
      </w:r>
    </w:p>
    <w:p w:rsidR="005F4ED1" w:rsidRDefault="00D66C6E">
      <w:pPr>
        <w:spacing w:line="56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/>
          <w:b/>
          <w:sz w:val="32"/>
          <w:szCs w:val="32"/>
        </w:rPr>
        <w:t>（</w:t>
      </w:r>
      <w:r>
        <w:rPr>
          <w:rFonts w:ascii="仿宋" w:eastAsia="仿宋" w:hAnsi="仿宋" w:cs="Times New Roman"/>
          <w:b/>
          <w:sz w:val="32"/>
          <w:szCs w:val="32"/>
        </w:rPr>
        <w:t>3</w:t>
      </w:r>
      <w:r>
        <w:rPr>
          <w:rFonts w:ascii="仿宋" w:eastAsia="仿宋" w:hAnsi="仿宋" w:cs="Times New Roman"/>
          <w:b/>
          <w:sz w:val="32"/>
          <w:szCs w:val="32"/>
        </w:rPr>
        <w:t>）是否成功提交行权委托</w:t>
      </w:r>
    </w:p>
    <w:p w:rsidR="005F4ED1" w:rsidRDefault="00D66C6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未签署自动行权协议的投资者，需要在行权日的指定时间内（</w:t>
      </w:r>
      <w:r>
        <w:rPr>
          <w:rFonts w:ascii="仿宋" w:eastAsia="仿宋" w:hAnsi="仿宋" w:cs="Times New Roman"/>
          <w:sz w:val="32"/>
          <w:szCs w:val="32"/>
        </w:rPr>
        <w:t>9:15</w:t>
      </w:r>
      <w:r>
        <w:rPr>
          <w:rFonts w:ascii="仿宋" w:eastAsia="仿宋" w:hAnsi="仿宋" w:cs="Times New Roman"/>
          <w:sz w:val="32"/>
          <w:szCs w:val="32"/>
        </w:rPr>
        <w:t>至</w:t>
      </w:r>
      <w:r>
        <w:rPr>
          <w:rFonts w:ascii="仿宋" w:eastAsia="仿宋" w:hAnsi="仿宋" w:cs="Times New Roman"/>
          <w:sz w:val="32"/>
          <w:szCs w:val="32"/>
        </w:rPr>
        <w:t>11:30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>
        <w:rPr>
          <w:rFonts w:ascii="仿宋" w:eastAsia="仿宋" w:hAnsi="仿宋" w:cs="Times New Roman"/>
          <w:sz w:val="32"/>
          <w:szCs w:val="32"/>
        </w:rPr>
        <w:t>13:00</w:t>
      </w:r>
      <w:r>
        <w:rPr>
          <w:rFonts w:ascii="仿宋" w:eastAsia="仿宋" w:hAnsi="仿宋" w:cs="Times New Roman" w:hint="eastAsia"/>
          <w:sz w:val="32"/>
          <w:szCs w:val="32"/>
        </w:rPr>
        <w:t>至</w:t>
      </w:r>
      <w:r>
        <w:rPr>
          <w:rFonts w:ascii="仿宋" w:eastAsia="仿宋" w:hAnsi="仿宋" w:cs="Times New Roman"/>
          <w:sz w:val="32"/>
          <w:szCs w:val="32"/>
        </w:rPr>
        <w:t>15:30</w:t>
      </w:r>
      <w:r>
        <w:rPr>
          <w:rFonts w:ascii="仿宋" w:eastAsia="仿宋" w:hAnsi="仿宋" w:cs="Times New Roman"/>
          <w:sz w:val="32"/>
          <w:szCs w:val="32"/>
        </w:rPr>
        <w:t>）提交行权委托，</w:t>
      </w:r>
      <w:r>
        <w:rPr>
          <w:rFonts w:ascii="仿宋" w:eastAsia="仿宋" w:hAnsi="仿宋" w:cs="Times New Roman" w:hint="eastAsia"/>
          <w:sz w:val="32"/>
          <w:szCs w:val="32"/>
        </w:rPr>
        <w:t>如期权合约到期未行权，该合约将不再具有价值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:rsidR="005F4ED1" w:rsidRDefault="00D66C6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lastRenderedPageBreak/>
        <w:t>签署自动行权协议的投资者，其期权持仓只要达到了自动行权协议约定的触发条件，且通过了行权可用资金和可用证券的校验，期权</w:t>
      </w:r>
      <w:r>
        <w:rPr>
          <w:rFonts w:ascii="仿宋" w:eastAsia="仿宋" w:hAnsi="仿宋" w:cs="Times New Roman" w:hint="eastAsia"/>
          <w:sz w:val="32"/>
          <w:szCs w:val="32"/>
        </w:rPr>
        <w:t>经营机构</w:t>
      </w:r>
      <w:r>
        <w:rPr>
          <w:rFonts w:ascii="仿宋" w:eastAsia="仿宋" w:hAnsi="仿宋" w:cs="Times New Roman"/>
          <w:sz w:val="32"/>
          <w:szCs w:val="32"/>
        </w:rPr>
        <w:t>会自动为投资者提交行权委托。</w:t>
      </w:r>
    </w:p>
    <w:p w:rsidR="005F4ED1" w:rsidRDefault="00D66C6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需要注意的是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/>
          <w:sz w:val="32"/>
          <w:szCs w:val="32"/>
        </w:rPr>
        <w:t>如果投资者账户中资金或证券不足，即使签署了自动行权协议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/>
          <w:sz w:val="32"/>
          <w:szCs w:val="32"/>
        </w:rPr>
        <w:t>也会行权失败。</w:t>
      </w:r>
    </w:p>
    <w:p w:rsidR="005F4ED1" w:rsidRDefault="00D66C6E">
      <w:pPr>
        <w:spacing w:line="56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/>
          <w:b/>
          <w:sz w:val="32"/>
          <w:szCs w:val="32"/>
        </w:rPr>
        <w:t>（</w:t>
      </w:r>
      <w:r>
        <w:rPr>
          <w:rFonts w:ascii="仿宋" w:eastAsia="仿宋" w:hAnsi="仿宋" w:cs="Times New Roman"/>
          <w:b/>
          <w:sz w:val="32"/>
          <w:szCs w:val="32"/>
        </w:rPr>
        <w:t>4</w:t>
      </w:r>
      <w:r>
        <w:rPr>
          <w:rFonts w:ascii="仿宋" w:eastAsia="仿宋" w:hAnsi="仿宋" w:cs="Times New Roman"/>
          <w:b/>
          <w:sz w:val="32"/>
          <w:szCs w:val="32"/>
        </w:rPr>
        <w:t>）是否进</w:t>
      </w:r>
      <w:proofErr w:type="gramStart"/>
      <w:r>
        <w:rPr>
          <w:rFonts w:ascii="仿宋" w:eastAsia="仿宋" w:hAnsi="仿宋" w:cs="Times New Roman"/>
          <w:b/>
          <w:sz w:val="32"/>
          <w:szCs w:val="32"/>
        </w:rPr>
        <w:t>行</w:t>
      </w:r>
      <w:r>
        <w:rPr>
          <w:rFonts w:ascii="仿宋" w:eastAsia="仿宋" w:hAnsi="仿宋" w:cs="Times New Roman" w:hint="eastAsia"/>
          <w:b/>
          <w:sz w:val="32"/>
          <w:szCs w:val="32"/>
        </w:rPr>
        <w:t>行权</w:t>
      </w:r>
      <w:proofErr w:type="gramEnd"/>
      <w:r>
        <w:rPr>
          <w:rFonts w:ascii="仿宋" w:eastAsia="仿宋" w:hAnsi="仿宋" w:cs="Times New Roman"/>
          <w:b/>
          <w:sz w:val="32"/>
          <w:szCs w:val="32"/>
        </w:rPr>
        <w:t>指令合并申报（又叫</w:t>
      </w:r>
      <w:r>
        <w:rPr>
          <w:rFonts w:ascii="仿宋" w:eastAsia="仿宋" w:hAnsi="仿宋" w:cs="Times New Roman" w:hint="eastAsia"/>
          <w:b/>
          <w:sz w:val="32"/>
          <w:szCs w:val="32"/>
        </w:rPr>
        <w:t>组合</w:t>
      </w:r>
      <w:r>
        <w:rPr>
          <w:rFonts w:ascii="仿宋" w:eastAsia="仿宋" w:hAnsi="仿宋" w:cs="Times New Roman"/>
          <w:b/>
          <w:sz w:val="32"/>
          <w:szCs w:val="32"/>
        </w:rPr>
        <w:t>行权）</w:t>
      </w:r>
    </w:p>
    <w:p w:rsidR="005F4ED1" w:rsidRDefault="00D66C6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投资者如持有相同标的、相同到期日、相同合约</w:t>
      </w:r>
      <w:r>
        <w:rPr>
          <w:rFonts w:ascii="仿宋" w:eastAsia="仿宋" w:hAnsi="仿宋" w:cs="Times New Roman" w:hint="eastAsia"/>
          <w:sz w:val="32"/>
          <w:szCs w:val="32"/>
        </w:rPr>
        <w:t>单位</w:t>
      </w:r>
      <w:r>
        <w:rPr>
          <w:rFonts w:ascii="仿宋" w:eastAsia="仿宋" w:hAnsi="仿宋" w:cs="Times New Roman"/>
          <w:sz w:val="32"/>
          <w:szCs w:val="32"/>
        </w:rPr>
        <w:t>的认购期权权利仓、认沽期权权利仓，并且认沽期权的行权价高于认购期权的行权价，可以提交</w:t>
      </w:r>
      <w:r>
        <w:rPr>
          <w:rFonts w:ascii="仿宋" w:eastAsia="仿宋" w:hAnsi="仿宋" w:cs="Times New Roman" w:hint="eastAsia"/>
          <w:sz w:val="32"/>
          <w:szCs w:val="32"/>
        </w:rPr>
        <w:t>合并</w:t>
      </w:r>
      <w:r>
        <w:rPr>
          <w:rFonts w:ascii="仿宋" w:eastAsia="仿宋" w:hAnsi="仿宋" w:cs="Times New Roman"/>
          <w:sz w:val="32"/>
          <w:szCs w:val="32"/>
        </w:rPr>
        <w:t>行权委托。</w:t>
      </w:r>
      <w:r>
        <w:rPr>
          <w:rFonts w:ascii="仿宋" w:eastAsia="仿宋" w:hAnsi="仿宋" w:cs="Times New Roman" w:hint="eastAsia"/>
          <w:sz w:val="32"/>
          <w:szCs w:val="32"/>
        </w:rPr>
        <w:t>进行合并行权的，投资者无需准备资金与证券。</w:t>
      </w:r>
    </w:p>
    <w:p w:rsidR="005F4ED1" w:rsidRDefault="005F4ED1">
      <w:pPr>
        <w:spacing w:line="560" w:lineRule="exact"/>
        <w:rPr>
          <w:rFonts w:ascii="仿宋" w:eastAsia="仿宋" w:hAnsi="仿宋"/>
          <w:sz w:val="32"/>
        </w:rPr>
      </w:pPr>
    </w:p>
    <w:p w:rsidR="005F4ED1" w:rsidRDefault="005F4ED1">
      <w:pPr>
        <w:spacing w:line="560" w:lineRule="exact"/>
        <w:rPr>
          <w:rFonts w:ascii="仿宋" w:eastAsia="仿宋" w:hAnsi="仿宋"/>
          <w:sz w:val="32"/>
        </w:rPr>
      </w:pPr>
    </w:p>
    <w:p w:rsidR="005F4ED1" w:rsidRDefault="00D66C6E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（“期权入市手册”系列文章支持单位：广发证券、国泰君安证券、华泰证券、嘉实基金、易方达基金、招商证券、中</w:t>
      </w:r>
      <w:proofErr w:type="gramStart"/>
      <w:r>
        <w:rPr>
          <w:rFonts w:ascii="仿宋" w:eastAsia="仿宋" w:hAnsi="仿宋" w:hint="eastAsia"/>
          <w:sz w:val="32"/>
        </w:rPr>
        <w:t>信建投证券</w:t>
      </w:r>
      <w:proofErr w:type="gramEnd"/>
      <w:r>
        <w:rPr>
          <w:rFonts w:ascii="仿宋" w:eastAsia="仿宋" w:hAnsi="仿宋" w:hint="eastAsia"/>
          <w:sz w:val="32"/>
        </w:rPr>
        <w:t>（按音序排列，排名不分先后））</w:t>
      </w:r>
    </w:p>
    <w:p w:rsidR="005F4ED1" w:rsidRDefault="005F4ED1">
      <w:pPr>
        <w:spacing w:line="560" w:lineRule="exact"/>
        <w:rPr>
          <w:rFonts w:ascii="仿宋" w:eastAsia="仿宋" w:hAnsi="仿宋"/>
          <w:sz w:val="32"/>
        </w:rPr>
      </w:pPr>
    </w:p>
    <w:p w:rsidR="005F4ED1" w:rsidRDefault="00D66C6E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免责声明：本文仅为投资者教育之目的而发布，不构成投资建议。投资者据此操作，风险自担。深圳证券交易所力求本文所涉信息准确可靠，但并不对其准确性、完整性和及时性做出任何保证，对因使用本文引发的损失不承担责任。）</w:t>
      </w:r>
    </w:p>
    <w:sectPr w:rsidR="005F4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21F1"/>
    <w:multiLevelType w:val="multilevel"/>
    <w:tmpl w:val="0E8E21F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心怡">
    <w15:presenceInfo w15:providerId="None" w15:userId="陈心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7F"/>
    <w:rsid w:val="000022C9"/>
    <w:rsid w:val="00024E42"/>
    <w:rsid w:val="00045881"/>
    <w:rsid w:val="00073B27"/>
    <w:rsid w:val="000850D4"/>
    <w:rsid w:val="000E658A"/>
    <w:rsid w:val="00146DC5"/>
    <w:rsid w:val="0020392E"/>
    <w:rsid w:val="00244526"/>
    <w:rsid w:val="00247FF4"/>
    <w:rsid w:val="00254873"/>
    <w:rsid w:val="00273878"/>
    <w:rsid w:val="002B4453"/>
    <w:rsid w:val="0032412C"/>
    <w:rsid w:val="003307EE"/>
    <w:rsid w:val="003B3D62"/>
    <w:rsid w:val="003E1D15"/>
    <w:rsid w:val="004352D8"/>
    <w:rsid w:val="00485D85"/>
    <w:rsid w:val="004A65EE"/>
    <w:rsid w:val="00575795"/>
    <w:rsid w:val="00590C44"/>
    <w:rsid w:val="005A5EA9"/>
    <w:rsid w:val="005F4ED1"/>
    <w:rsid w:val="00603685"/>
    <w:rsid w:val="00666E2D"/>
    <w:rsid w:val="006D73C9"/>
    <w:rsid w:val="006E4256"/>
    <w:rsid w:val="00764E15"/>
    <w:rsid w:val="007F1C7C"/>
    <w:rsid w:val="00827545"/>
    <w:rsid w:val="00872572"/>
    <w:rsid w:val="00922D35"/>
    <w:rsid w:val="00924E1A"/>
    <w:rsid w:val="00995CCF"/>
    <w:rsid w:val="00A12A83"/>
    <w:rsid w:val="00AB4FF2"/>
    <w:rsid w:val="00B44386"/>
    <w:rsid w:val="00B46E54"/>
    <w:rsid w:val="00B47BC0"/>
    <w:rsid w:val="00B51E4A"/>
    <w:rsid w:val="00B9201D"/>
    <w:rsid w:val="00BF607F"/>
    <w:rsid w:val="00C16D94"/>
    <w:rsid w:val="00C628EA"/>
    <w:rsid w:val="00CD5C62"/>
    <w:rsid w:val="00CF24AA"/>
    <w:rsid w:val="00D047F1"/>
    <w:rsid w:val="00D41A29"/>
    <w:rsid w:val="00D61301"/>
    <w:rsid w:val="00D66C6E"/>
    <w:rsid w:val="00D801F4"/>
    <w:rsid w:val="00E023EA"/>
    <w:rsid w:val="00E04C3C"/>
    <w:rsid w:val="00EA54BE"/>
    <w:rsid w:val="00EC7ADB"/>
    <w:rsid w:val="00EF0751"/>
    <w:rsid w:val="00EF72FB"/>
    <w:rsid w:val="00F05D98"/>
    <w:rsid w:val="00F26F8B"/>
    <w:rsid w:val="00F5542B"/>
    <w:rsid w:val="00F64A9F"/>
    <w:rsid w:val="00F87F67"/>
    <w:rsid w:val="00FC7F84"/>
    <w:rsid w:val="00FD2CDF"/>
    <w:rsid w:val="01D8609C"/>
    <w:rsid w:val="022A157C"/>
    <w:rsid w:val="081D5920"/>
    <w:rsid w:val="201B7EE2"/>
    <w:rsid w:val="2C5E5365"/>
    <w:rsid w:val="3CC722D0"/>
    <w:rsid w:val="48B82223"/>
    <w:rsid w:val="4E53671A"/>
    <w:rsid w:val="686C4009"/>
    <w:rsid w:val="6BB700EA"/>
    <w:rsid w:val="6F5D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semiHidden="0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exact"/>
      <w:outlineLvl w:val="2"/>
    </w:pPr>
    <w:rPr>
      <w:rFonts w:ascii="仿宋" w:eastAsia="仿宋" w:hAnsi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" w:hAnsi="仿宋"/>
      <w:b/>
      <w:bCs/>
      <w:kern w:val="2"/>
      <w:sz w:val="32"/>
      <w:szCs w:val="32"/>
    </w:rPr>
  </w:style>
  <w:style w:type="table" w:customStyle="1" w:styleId="1">
    <w:name w:val="网格型1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2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semiHidden="0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exact"/>
      <w:outlineLvl w:val="2"/>
    </w:pPr>
    <w:rPr>
      <w:rFonts w:ascii="仿宋" w:eastAsia="仿宋" w:hAnsi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" w:hAnsi="仿宋"/>
      <w:b/>
      <w:bCs/>
      <w:kern w:val="2"/>
      <w:sz w:val="32"/>
      <w:szCs w:val="32"/>
    </w:rPr>
  </w:style>
  <w:style w:type="table" w:customStyle="1" w:styleId="1">
    <w:name w:val="网格型1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2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CACB2-3E8C-4D9A-8D91-5C2E68ED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陈洁</dc:creator>
  <cp:lastModifiedBy>陈洁</cp:lastModifiedBy>
  <cp:revision>8</cp:revision>
  <dcterms:created xsi:type="dcterms:W3CDTF">2022-11-08T11:49:00Z</dcterms:created>
  <dcterms:modified xsi:type="dcterms:W3CDTF">2022-11-28T08:25:00Z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C8F2276712B449C58C5180BCD0267F96</vt:lpwstr>
  </property>
</Properties>
</file>