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8F" w:rsidRDefault="00646D8F"/>
    <w:p w:rsidR="00646D8F" w:rsidRDefault="00646D8F"/>
    <w:p w:rsidR="00646D8F" w:rsidRDefault="00646D8F"/>
    <w:p w:rsidR="00646D8F" w:rsidRDefault="0004010B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世界投资者周丨期权入市手册（六）：</w:t>
      </w:r>
      <w:r>
        <w:rPr>
          <w:rFonts w:ascii="方正小标宋简体" w:eastAsia="方正小标宋简体" w:hAnsi="方正小标宋简体"/>
          <w:sz w:val="44"/>
        </w:rPr>
        <w:br/>
      </w:r>
      <w:r>
        <w:rPr>
          <w:rFonts w:ascii="方正小标宋简体" w:eastAsia="方正小标宋简体" w:hAnsi="方正小标宋简体" w:hint="eastAsia"/>
          <w:sz w:val="44"/>
        </w:rPr>
        <w:t>期权的主要用途</w:t>
      </w:r>
    </w:p>
    <w:p w:rsidR="00646D8F" w:rsidRDefault="00646D8F"/>
    <w:p w:rsidR="00646D8F" w:rsidRDefault="00646D8F"/>
    <w:p w:rsidR="00646D8F" w:rsidRDefault="00646D8F"/>
    <w:p w:rsidR="00646D8F" w:rsidRDefault="0004010B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</w:t>
      </w:r>
      <w:r w:rsidR="00A46C1B" w:rsidRPr="00A46C1B">
        <w:rPr>
          <w:rFonts w:ascii="仿宋" w:eastAsia="仿宋" w:hAnsi="仿宋" w:hint="eastAsia"/>
          <w:sz w:val="32"/>
        </w:rPr>
        <w:t>标的为创业板ETF，代码159915</w:t>
      </w:r>
      <w:r w:rsidR="00A46C1B"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 w:hint="eastAsia"/>
          <w:sz w:val="32"/>
        </w:rPr>
        <w:t>、中证500ETF期权（</w:t>
      </w:r>
      <w:r w:rsidR="00A46C1B" w:rsidRPr="00A46C1B">
        <w:rPr>
          <w:rFonts w:ascii="仿宋" w:eastAsia="仿宋" w:hAnsi="仿宋" w:hint="eastAsia"/>
          <w:sz w:val="32"/>
        </w:rPr>
        <w:t>标的为中证500ETF，代码159922</w:t>
      </w:r>
      <w:r>
        <w:rPr>
          <w:rFonts w:ascii="仿宋" w:eastAsia="仿宋" w:hAnsi="仿宋" w:hint="eastAsia"/>
          <w:sz w:val="32"/>
        </w:rPr>
        <w:t>）上市交易。为帮助投资者系统了解期权产品特征、理性参与期权交易、有效提升风险管理能力，深交所联合市场机构推出“期权入市手册”系列连载文章。今天是第6期，让我们一起看看期权的主要用途有哪些吧！</w:t>
      </w:r>
    </w:p>
    <w:p w:rsidR="00646D8F" w:rsidRDefault="00646D8F">
      <w:pPr>
        <w:spacing w:line="560" w:lineRule="exact"/>
        <w:rPr>
          <w:rFonts w:ascii="仿宋" w:eastAsia="仿宋" w:hAnsi="仿宋"/>
          <w:sz w:val="32"/>
        </w:rPr>
      </w:pPr>
    </w:p>
    <w:p w:rsidR="00646D8F" w:rsidRDefault="0004010B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bookmarkStart w:id="0" w:name="_Toc110967976"/>
      <w:r>
        <w:rPr>
          <w:rFonts w:cs="Times New Roman" w:hint="eastAsia"/>
        </w:rPr>
        <w:t>为什么期权具备保险功能？</w:t>
      </w:r>
      <w:bookmarkEnd w:id="0"/>
      <w:r>
        <w:rPr>
          <w:rFonts w:cs="Times New Roman"/>
        </w:rPr>
        <w:t xml:space="preserve"> </w:t>
      </w:r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投资者可以将期权作为保险工具，对冲市场风险。</w:t>
      </w:r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期权的保险功能主要分为两种：</w:t>
      </w:r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第一种也是最常见的一种是，投资者在买入或持有标的证券的同时，买入相应数量的认沽期权，为标的证券价格的下跌提供保护。当标的证券价格下跌后，投资者仍然可以按照约定的价格卖出标的证券，达到了对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冲风险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的目的，实现了期权的保险功能；当标的证券价格上涨时，投资者仍可以享受到标的证券上涨的盈利。</w:t>
      </w:r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第二种是投资者在融券卖出标的证券时，为防止标的证券价格上涨造成损失，可以同时买入相应数量的认购期权，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为标的证券价格的上涨提供保险。</w:t>
      </w:r>
      <w:bookmarkStart w:id="1" w:name="_Toc110967977"/>
    </w:p>
    <w:p w:rsidR="00646D8F" w:rsidRDefault="00646D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46D8F" w:rsidRDefault="0004010B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r>
        <w:rPr>
          <w:rFonts w:cs="Times New Roman" w:hint="eastAsia"/>
        </w:rPr>
        <w:t>为什么期权可以提高投资效率？</w:t>
      </w:r>
      <w:bookmarkEnd w:id="1"/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投资者可以以较少的权利金买入期权，有机会获得标的价格变动带来的收益，从而提高投资效率。</w:t>
      </w:r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例如，小张和小王都认为现价为4元/份的某只ETF会上涨，小张直接买入了ETF，小王则以0.2元/份的权利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金购入行权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价为4.5元/份的认购期权。若合约到期时，该ETF上涨至5元/份，则小张投资ETF的收益率为25%，而小王买入期权的收益则为150%。利用期权，小王获得了更高的投资效率。</w:t>
      </w:r>
    </w:p>
    <w:p w:rsidR="00646D8F" w:rsidRDefault="0004010B">
      <w:pPr>
        <w:spacing w:line="560" w:lineRule="exact"/>
        <w:ind w:firstLineChars="200" w:firstLine="643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小张</w:t>
      </w:r>
      <w:r w:rsidR="00A46C1B">
        <w:rPr>
          <w:rFonts w:ascii="仿宋" w:eastAsia="仿宋" w:hAnsi="仿宋" w:cs="Times New Roman" w:hint="eastAsia"/>
          <w:b/>
          <w:sz w:val="32"/>
          <w:szCs w:val="32"/>
        </w:rPr>
        <w:t>、小王</w:t>
      </w:r>
      <w:r>
        <w:rPr>
          <w:rFonts w:ascii="仿宋" w:eastAsia="仿宋" w:hAnsi="仿宋" w:cs="Times New Roman" w:hint="eastAsia"/>
          <w:b/>
          <w:sz w:val="32"/>
          <w:szCs w:val="32"/>
        </w:rPr>
        <w:t>投资收益情况分析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384"/>
        <w:gridCol w:w="3569"/>
        <w:gridCol w:w="3569"/>
      </w:tblGrid>
      <w:tr w:rsidR="00A46C1B" w:rsidTr="00A46C1B">
        <w:trPr>
          <w:trHeight w:val="826"/>
        </w:trPr>
        <w:tc>
          <w:tcPr>
            <w:tcW w:w="812" w:type="pct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  <w:tc>
          <w:tcPr>
            <w:tcW w:w="2094" w:type="pct"/>
            <w:vAlign w:val="center"/>
          </w:tcPr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小张：</w:t>
            </w:r>
          </w:p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投资ETF</w:t>
            </w:r>
          </w:p>
        </w:tc>
        <w:tc>
          <w:tcPr>
            <w:tcW w:w="2094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小王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：</w:t>
            </w:r>
          </w:p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买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行权价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4.5元的认购期权</w:t>
            </w:r>
          </w:p>
        </w:tc>
      </w:tr>
      <w:tr w:rsidR="00A46C1B" w:rsidTr="00A46C1B">
        <w:trPr>
          <w:trHeight w:val="826"/>
        </w:trPr>
        <w:tc>
          <w:tcPr>
            <w:tcW w:w="812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成本</w:t>
            </w:r>
          </w:p>
        </w:tc>
        <w:tc>
          <w:tcPr>
            <w:tcW w:w="2094" w:type="pct"/>
            <w:vAlign w:val="center"/>
          </w:tcPr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4元/份</w:t>
            </w:r>
          </w:p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买入</w:t>
            </w:r>
            <w:r>
              <w:rPr>
                <w:rFonts w:ascii="仿宋" w:eastAsia="仿宋" w:hAnsi="仿宋" w:cs="Times New Roman"/>
                <w:sz w:val="24"/>
                <w:szCs w:val="32"/>
              </w:rPr>
              <w:t>ETF</w:t>
            </w:r>
          </w:p>
        </w:tc>
        <w:tc>
          <w:tcPr>
            <w:tcW w:w="2094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0.2元/份</w:t>
            </w:r>
          </w:p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付出权利金</w:t>
            </w:r>
          </w:p>
        </w:tc>
      </w:tr>
      <w:tr w:rsidR="00A46C1B" w:rsidTr="00A46C1B">
        <w:trPr>
          <w:trHeight w:val="826"/>
        </w:trPr>
        <w:tc>
          <w:tcPr>
            <w:tcW w:w="812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到期收益</w:t>
            </w:r>
          </w:p>
        </w:tc>
        <w:tc>
          <w:tcPr>
            <w:tcW w:w="2094" w:type="pct"/>
            <w:vAlign w:val="center"/>
          </w:tcPr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5-4=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1元/份</w:t>
            </w:r>
          </w:p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ETF升值收益</w:t>
            </w:r>
          </w:p>
        </w:tc>
        <w:tc>
          <w:tcPr>
            <w:tcW w:w="2094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（</w:t>
            </w:r>
            <w:r>
              <w:rPr>
                <w:rFonts w:ascii="仿宋" w:eastAsia="仿宋" w:hAnsi="仿宋" w:cs="Times New Roman"/>
                <w:sz w:val="24"/>
                <w:szCs w:val="32"/>
              </w:rPr>
              <w:t>5-4.5</w:t>
            </w: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）</w:t>
            </w:r>
            <w:r>
              <w:rPr>
                <w:rFonts w:ascii="仿宋" w:eastAsia="仿宋" w:hAnsi="仿宋" w:cs="Times New Roman"/>
                <w:sz w:val="24"/>
                <w:szCs w:val="32"/>
              </w:rPr>
              <w:t>-0.2=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0.3元/份</w:t>
            </w:r>
          </w:p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行权收益减去权利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32"/>
              </w:rPr>
              <w:t>金成本</w:t>
            </w:r>
            <w:proofErr w:type="gramEnd"/>
          </w:p>
        </w:tc>
      </w:tr>
      <w:tr w:rsidR="00A46C1B" w:rsidTr="00A46C1B">
        <w:trPr>
          <w:trHeight w:val="826"/>
        </w:trPr>
        <w:tc>
          <w:tcPr>
            <w:tcW w:w="812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收益率</w:t>
            </w:r>
          </w:p>
        </w:tc>
        <w:tc>
          <w:tcPr>
            <w:tcW w:w="2094" w:type="pct"/>
            <w:vAlign w:val="center"/>
          </w:tcPr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1/4=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25%</w:t>
            </w:r>
          </w:p>
        </w:tc>
        <w:tc>
          <w:tcPr>
            <w:tcW w:w="2094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0.3/0.2=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150%</w:t>
            </w:r>
          </w:p>
        </w:tc>
      </w:tr>
    </w:tbl>
    <w:p w:rsidR="00646D8F" w:rsidRDefault="00646D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2" w:name="_Toc82449669"/>
      <w:bookmarkStart w:id="3" w:name="_Toc82449670"/>
      <w:bookmarkStart w:id="4" w:name="_Toc110967978"/>
      <w:bookmarkEnd w:id="2"/>
      <w:bookmarkEnd w:id="3"/>
    </w:p>
    <w:p w:rsidR="00646D8F" w:rsidRDefault="0004010B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r>
        <w:rPr>
          <w:rFonts w:cs="Times New Roman" w:hint="eastAsia"/>
        </w:rPr>
        <w:t>为什么期权可以增强期权标的持仓的收益？</w:t>
      </w:r>
      <w:bookmarkEnd w:id="4"/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投资者长期持有期权标的时，如预计期权标的价格在未来一段时间大涨的概率有限，可构建备兑策略增强持仓收益。</w:t>
      </w:r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例如，投资者小张在</w:t>
      </w:r>
      <w:r w:rsidR="0061667D">
        <w:rPr>
          <w:rFonts w:ascii="仿宋" w:eastAsia="仿宋" w:hAnsi="仿宋" w:cs="Times New Roman" w:hint="eastAsia"/>
          <w:sz w:val="32"/>
          <w:szCs w:val="32"/>
        </w:rPr>
        <w:t>某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买入沪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深300ETF（价格4.029元），计划未来以4.2元卖出，投资者小王在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lastRenderedPageBreak/>
        <w:t>买入沪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深300ETF的同时，卖出行权价为4.2元的深市期权合约“沪深300ETF购</w:t>
      </w:r>
      <w:r w:rsidR="0061667D">
        <w:rPr>
          <w:rFonts w:ascii="仿宋" w:eastAsia="仿宋" w:hAnsi="仿宋" w:cs="Times New Roman" w:hint="eastAsia"/>
          <w:sz w:val="32"/>
          <w:szCs w:val="32"/>
        </w:rPr>
        <w:t>X</w:t>
      </w:r>
      <w:bookmarkStart w:id="5" w:name="_GoBack"/>
      <w:bookmarkEnd w:id="5"/>
      <w:r>
        <w:rPr>
          <w:rFonts w:ascii="仿宋" w:eastAsia="仿宋" w:hAnsi="仿宋" w:cs="Times New Roman" w:hint="eastAsia"/>
          <w:sz w:val="32"/>
          <w:szCs w:val="32"/>
        </w:rPr>
        <w:t>月4200”，收取权利金0.0188元。合约到期时，ETF涨至4.184元，未达到行权价。小张获得了ETF上涨的收益，小王在ETF上涨收益外，还额外获得了期权权利金的收益。</w:t>
      </w:r>
    </w:p>
    <w:p w:rsidR="00646D8F" w:rsidRDefault="0004010B">
      <w:pPr>
        <w:spacing w:line="560" w:lineRule="exact"/>
        <w:ind w:firstLineChars="200" w:firstLine="643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小张</w:t>
      </w:r>
      <w:r w:rsidR="00A46C1B">
        <w:rPr>
          <w:rFonts w:ascii="仿宋" w:eastAsia="仿宋" w:hAnsi="仿宋" w:cs="Times New Roman" w:hint="eastAsia"/>
          <w:b/>
          <w:sz w:val="32"/>
          <w:szCs w:val="32"/>
        </w:rPr>
        <w:t>、小王</w:t>
      </w:r>
      <w:r>
        <w:rPr>
          <w:rFonts w:ascii="仿宋" w:eastAsia="仿宋" w:hAnsi="仿宋" w:cs="Times New Roman" w:hint="eastAsia"/>
          <w:b/>
          <w:sz w:val="32"/>
          <w:szCs w:val="32"/>
        </w:rPr>
        <w:t>投资收益情况分析</w:t>
      </w:r>
    </w:p>
    <w:tbl>
      <w:tblPr>
        <w:tblStyle w:val="1"/>
        <w:tblW w:w="5187" w:type="pct"/>
        <w:tblInd w:w="-318" w:type="dxa"/>
        <w:tblLook w:val="04A0" w:firstRow="1" w:lastRow="0" w:firstColumn="1" w:lastColumn="0" w:noHBand="0" w:noVBand="1"/>
      </w:tblPr>
      <w:tblGrid>
        <w:gridCol w:w="1375"/>
        <w:gridCol w:w="3733"/>
        <w:gridCol w:w="3733"/>
      </w:tblGrid>
      <w:tr w:rsidR="00A46C1B" w:rsidTr="00A46C1B">
        <w:trPr>
          <w:trHeight w:val="849"/>
        </w:trPr>
        <w:tc>
          <w:tcPr>
            <w:tcW w:w="778" w:type="pct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</w:p>
        </w:tc>
        <w:tc>
          <w:tcPr>
            <w:tcW w:w="2111" w:type="pct"/>
            <w:vAlign w:val="center"/>
          </w:tcPr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小张：</w:t>
            </w:r>
          </w:p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投资ETF</w:t>
            </w:r>
          </w:p>
        </w:tc>
        <w:tc>
          <w:tcPr>
            <w:tcW w:w="2111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小王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：</w:t>
            </w:r>
          </w:p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投资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ETF、卖出期权</w:t>
            </w:r>
          </w:p>
        </w:tc>
      </w:tr>
      <w:tr w:rsidR="00A46C1B" w:rsidTr="00A46C1B">
        <w:trPr>
          <w:trHeight w:val="849"/>
        </w:trPr>
        <w:tc>
          <w:tcPr>
            <w:tcW w:w="778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成本</w:t>
            </w:r>
          </w:p>
        </w:tc>
        <w:tc>
          <w:tcPr>
            <w:tcW w:w="2111" w:type="pct"/>
            <w:vAlign w:val="center"/>
          </w:tcPr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4.029元/份</w:t>
            </w:r>
          </w:p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买入</w:t>
            </w:r>
            <w:r>
              <w:rPr>
                <w:rFonts w:ascii="仿宋" w:eastAsia="仿宋" w:hAnsi="仿宋" w:cs="Times New Roman"/>
                <w:sz w:val="24"/>
                <w:szCs w:val="32"/>
              </w:rPr>
              <w:t>ETF</w:t>
            </w:r>
          </w:p>
        </w:tc>
        <w:tc>
          <w:tcPr>
            <w:tcW w:w="2111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4.029-0.0188=4.0102元/份</w:t>
            </w:r>
          </w:p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买入</w:t>
            </w:r>
            <w:r>
              <w:rPr>
                <w:rFonts w:ascii="仿宋" w:eastAsia="仿宋" w:hAnsi="仿宋" w:cs="Times New Roman"/>
                <w:sz w:val="24"/>
                <w:szCs w:val="32"/>
              </w:rPr>
              <w:t>ETF，收取权利金</w:t>
            </w:r>
          </w:p>
        </w:tc>
      </w:tr>
      <w:tr w:rsidR="00A46C1B" w:rsidTr="00A46C1B">
        <w:trPr>
          <w:trHeight w:val="849"/>
        </w:trPr>
        <w:tc>
          <w:tcPr>
            <w:tcW w:w="778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到期收益</w:t>
            </w:r>
          </w:p>
        </w:tc>
        <w:tc>
          <w:tcPr>
            <w:tcW w:w="2111" w:type="pct"/>
            <w:vAlign w:val="center"/>
          </w:tcPr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4.184-4.029=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0.155元/份</w:t>
            </w:r>
          </w:p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ETF升值收益</w:t>
            </w:r>
          </w:p>
        </w:tc>
        <w:tc>
          <w:tcPr>
            <w:tcW w:w="2111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4.184</w:t>
            </w:r>
            <w:r>
              <w:rPr>
                <w:rFonts w:ascii="仿宋" w:eastAsia="仿宋" w:hAnsi="仿宋" w:cs="Times New Roman"/>
                <w:sz w:val="24"/>
                <w:szCs w:val="32"/>
              </w:rPr>
              <w:t>-</w:t>
            </w: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4.0102=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0.1738元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/份</w:t>
            </w:r>
          </w:p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ETF升值收益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32"/>
              </w:rPr>
              <w:t>加权利金收益</w:t>
            </w:r>
            <w:proofErr w:type="gramEnd"/>
          </w:p>
        </w:tc>
      </w:tr>
      <w:tr w:rsidR="00A46C1B" w:rsidTr="00A46C1B">
        <w:trPr>
          <w:trHeight w:val="849"/>
        </w:trPr>
        <w:tc>
          <w:tcPr>
            <w:tcW w:w="778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sz w:val="24"/>
                <w:szCs w:val="32"/>
              </w:rPr>
              <w:t>收益率</w:t>
            </w:r>
          </w:p>
        </w:tc>
        <w:tc>
          <w:tcPr>
            <w:tcW w:w="2111" w:type="pct"/>
            <w:vAlign w:val="center"/>
          </w:tcPr>
          <w:p w:rsidR="00A46C1B" w:rsidRDefault="00A46C1B" w:rsidP="00DF62E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0.155</w:t>
            </w:r>
            <w:r>
              <w:rPr>
                <w:rFonts w:ascii="仿宋" w:eastAsia="仿宋" w:hAnsi="仿宋" w:cs="Times New Roman"/>
                <w:sz w:val="24"/>
                <w:szCs w:val="32"/>
              </w:rPr>
              <w:t>/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4.029</w:t>
            </w:r>
            <w:r>
              <w:rPr>
                <w:rFonts w:ascii="仿宋" w:eastAsia="仿宋" w:hAnsi="仿宋" w:cs="Times New Roman"/>
                <w:sz w:val="24"/>
                <w:szCs w:val="32"/>
              </w:rPr>
              <w:t>=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3.8%</w:t>
            </w:r>
          </w:p>
        </w:tc>
        <w:tc>
          <w:tcPr>
            <w:tcW w:w="2111" w:type="pct"/>
            <w:vAlign w:val="center"/>
          </w:tcPr>
          <w:p w:rsidR="00A46C1B" w:rsidRDefault="00A46C1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0.1738</w:t>
            </w: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/</w:t>
            </w:r>
            <w:r>
              <w:rPr>
                <w:rFonts w:ascii="仿宋" w:eastAsia="仿宋" w:hAnsi="仿宋" w:cs="Times New Roman" w:hint="eastAsia"/>
                <w:b/>
                <w:sz w:val="24"/>
                <w:szCs w:val="32"/>
              </w:rPr>
              <w:t>4.0102</w:t>
            </w:r>
            <w:r>
              <w:rPr>
                <w:rFonts w:ascii="仿宋" w:eastAsia="仿宋" w:hAnsi="仿宋" w:cs="Times New Roman" w:hint="eastAsia"/>
                <w:sz w:val="24"/>
                <w:szCs w:val="32"/>
              </w:rPr>
              <w:t>=</w:t>
            </w:r>
            <w:r>
              <w:rPr>
                <w:rFonts w:ascii="仿宋" w:eastAsia="仿宋" w:hAnsi="仿宋" w:cs="Times New Roman"/>
                <w:b/>
                <w:sz w:val="24"/>
                <w:szCs w:val="32"/>
              </w:rPr>
              <w:t>4.3%</w:t>
            </w:r>
          </w:p>
        </w:tc>
      </w:tr>
    </w:tbl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投资者可以使用备兑策略来增强持仓收益。投资者持有期权标的时，如预计期权标的价格在未来一段时间大涨的概率有限，则可卖出行权价较高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的虚值认购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期权收取权利金收入，即备兑策略，增强现货持仓收益。如到期时现货价格没有上涨，期权一般不会被行权，投资者便赚得了权利金收入；如到期日现货价格大幅上涨，超过了行权价，卖出的认购期权被行权，投资者以较高的行权价卖出所持有的期权标的，本身已获取现货价格上涨带来的收益。</w:t>
      </w:r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由于备兑策略是使用投资者持有的标的现货作为担保，故不需要额外缴纳现金保证金，因此通常情况下无需每日盯市，无强制平仓风险。</w:t>
      </w:r>
    </w:p>
    <w:p w:rsidR="00646D8F" w:rsidRDefault="00646D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46D8F" w:rsidRDefault="0004010B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bookmarkStart w:id="6" w:name="_Toc110967979"/>
      <w:r>
        <w:rPr>
          <w:rFonts w:cs="Times New Roman" w:hint="eastAsia"/>
        </w:rPr>
        <w:lastRenderedPageBreak/>
        <w:t>为什么期权可以降低标的买入成本？</w:t>
      </w:r>
      <w:bookmarkEnd w:id="6"/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当投资者希望以某价格买入期权标的时，可以以该行权价卖出认沽期权。当卖出的期权被行权时，投资者可以以该价格买入标的，实现了“低价买”，同时还收入了权利金。当卖出的期权未被行权时，投资者获得权利金，降低标的买入成本。</w:t>
      </w:r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例如，一个房东担心未来房价下跌，想把房子以550万卖掉。唯一的看房人小陈希望用仅有的500万预算把房子买下，当时小陈和房东没有谈妥。小陈跟房东签订协议，小陈5万元卖给房东一个权利，3个月后房屋价格下跌到500万以下，小陈有义务以500万买下这套房子。如果3个月后，房屋价格真的下跌到500万以下，房东行使权利，小陈以500万的期望价格买到了房子，也收入了5万元权利金。如果3个月后房屋价格还在500万元以上，小陈收入了5万元权利金，也可以以此补贴买房成本。</w:t>
      </w:r>
    </w:p>
    <w:p w:rsidR="00646D8F" w:rsidRDefault="00646D8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46D8F" w:rsidRDefault="0004010B">
      <w:pPr>
        <w:pStyle w:val="3"/>
        <w:numPr>
          <w:ilvl w:val="0"/>
          <w:numId w:val="1"/>
        </w:numPr>
        <w:ind w:left="0" w:firstLineChars="200" w:firstLine="643"/>
        <w:rPr>
          <w:rFonts w:cs="Times New Roman"/>
        </w:rPr>
      </w:pPr>
      <w:bookmarkStart w:id="7" w:name="_Toc82449673"/>
      <w:bookmarkStart w:id="8" w:name="_Toc110967980"/>
      <w:bookmarkEnd w:id="7"/>
      <w:r>
        <w:rPr>
          <w:rFonts w:cs="Times New Roman" w:hint="eastAsia"/>
        </w:rPr>
        <w:t>为什么期权可以作为交易标的价格波动的工具？</w:t>
      </w:r>
      <w:bookmarkEnd w:id="8"/>
      <w:r>
        <w:rPr>
          <w:rFonts w:cs="Times New Roman"/>
        </w:rPr>
        <w:t xml:space="preserve"> </w:t>
      </w:r>
    </w:p>
    <w:p w:rsidR="00646D8F" w:rsidRDefault="0004010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投资者投资股票、期货时，一般只能通过判断价格涨跌方向获利；而投资期权时，还可以通过判断标的价格的波动率变化（如大涨大跌、小涨小跌、不涨不跌）获利。</w:t>
      </w:r>
    </w:p>
    <w:p w:rsidR="00646D8F" w:rsidRDefault="00646D8F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646D8F" w:rsidRDefault="00646D8F">
      <w:pPr>
        <w:spacing w:line="560" w:lineRule="exact"/>
        <w:rPr>
          <w:rFonts w:ascii="仿宋" w:eastAsia="仿宋" w:hAnsi="仿宋"/>
          <w:sz w:val="32"/>
        </w:rPr>
      </w:pPr>
    </w:p>
    <w:p w:rsidR="00646D8F" w:rsidRDefault="0004010B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</w:t>
      </w:r>
      <w:r>
        <w:rPr>
          <w:rFonts w:ascii="仿宋" w:eastAsia="仿宋" w:hAnsi="仿宋" w:hint="eastAsia"/>
          <w:sz w:val="32"/>
        </w:rPr>
        <w:lastRenderedPageBreak/>
        <w:t>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646D8F" w:rsidRDefault="00646D8F">
      <w:pPr>
        <w:spacing w:line="560" w:lineRule="exact"/>
        <w:rPr>
          <w:rFonts w:ascii="仿宋" w:eastAsia="仿宋" w:hAnsi="仿宋"/>
          <w:sz w:val="32"/>
        </w:rPr>
      </w:pPr>
    </w:p>
    <w:p w:rsidR="00646D8F" w:rsidRDefault="0004010B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46D8F" w:rsidRDefault="0004010B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646D8F" w:rsidRDefault="0004010B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64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4A0C46" w15:done="0"/>
  <w15:commentEx w15:paraId="518B2CD9" w15:done="0"/>
  <w15:commentEx w15:paraId="7BD657C5" w15:done="0" w15:paraIdParent="518B2CD9"/>
  <w15:commentEx w15:paraId="21C7705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3E1"/>
    <w:multiLevelType w:val="multilevel"/>
    <w:tmpl w:val="172D53E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  <w15:person w15:author="陈洁">
    <w15:presenceInfo w15:providerId="None" w15:userId="陈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4010B"/>
    <w:rsid w:val="00073B27"/>
    <w:rsid w:val="000E658A"/>
    <w:rsid w:val="0020392E"/>
    <w:rsid w:val="00254873"/>
    <w:rsid w:val="00273878"/>
    <w:rsid w:val="002B4453"/>
    <w:rsid w:val="0032412C"/>
    <w:rsid w:val="003E1D15"/>
    <w:rsid w:val="004352D8"/>
    <w:rsid w:val="004A65EE"/>
    <w:rsid w:val="004E0EB4"/>
    <w:rsid w:val="005A5EA9"/>
    <w:rsid w:val="0061667D"/>
    <w:rsid w:val="00646D8F"/>
    <w:rsid w:val="006D73C9"/>
    <w:rsid w:val="00924E1A"/>
    <w:rsid w:val="00A46C1B"/>
    <w:rsid w:val="00B44386"/>
    <w:rsid w:val="00B47BC0"/>
    <w:rsid w:val="00BF607F"/>
    <w:rsid w:val="00CD5C62"/>
    <w:rsid w:val="00CF24AA"/>
    <w:rsid w:val="00D801F4"/>
    <w:rsid w:val="00E04C3C"/>
    <w:rsid w:val="00EF0751"/>
    <w:rsid w:val="00F1191A"/>
    <w:rsid w:val="00F71C5F"/>
    <w:rsid w:val="00FD2CDF"/>
    <w:rsid w:val="169B6302"/>
    <w:rsid w:val="48B82223"/>
    <w:rsid w:val="686C4009"/>
    <w:rsid w:val="6BB700EA"/>
    <w:rsid w:val="6F5D389D"/>
    <w:rsid w:val="76C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5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CF68C-1ED8-488B-B242-B850FF06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3</cp:revision>
  <dcterms:created xsi:type="dcterms:W3CDTF">2022-09-29T09:59:00Z</dcterms:created>
  <dcterms:modified xsi:type="dcterms:W3CDTF">2022-09-30T08:15:00Z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E268F93D487749B2BB0E6214A673CA52</vt:lpwstr>
  </property>
</Properties>
</file>