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98" w:rsidRDefault="00F05D98"/>
    <w:p w:rsidR="00F05D98" w:rsidRDefault="00F05D98"/>
    <w:p w:rsidR="00F05D98" w:rsidRDefault="00F05D98"/>
    <w:p w:rsidR="00F05D98" w:rsidRDefault="00200EE3">
      <w:pPr>
        <w:spacing w:line="560" w:lineRule="exact"/>
        <w:jc w:val="center"/>
        <w:rPr>
          <w:rFonts w:ascii="方正小标宋简体" w:eastAsia="方正小标宋简体" w:hAnsi="方正小标宋简体"/>
          <w:sz w:val="44"/>
        </w:rPr>
      </w:pPr>
      <w:bookmarkStart w:id="0" w:name="_GoBack"/>
      <w:bookmarkEnd w:id="0"/>
      <w:r w:rsidRPr="00200EE3">
        <w:rPr>
          <w:rFonts w:ascii="方正小标宋简体" w:eastAsia="方正小标宋简体" w:hAnsi="方正小标宋简体" w:hint="eastAsia"/>
          <w:sz w:val="44"/>
        </w:rPr>
        <w:t>深交所投教丨期权入市手册（十五）：期权交易实务之期权交易软件常用操作</w:t>
      </w:r>
    </w:p>
    <w:p w:rsidR="00F05D98" w:rsidRPr="000850D4" w:rsidRDefault="00F05D98"/>
    <w:p w:rsidR="00F05D98" w:rsidRDefault="00F05D98"/>
    <w:p w:rsidR="00F05D98" w:rsidRPr="00045881" w:rsidRDefault="00F05D98"/>
    <w:p w:rsidR="00F05D98" w:rsidRDefault="00995CCF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编者按：2022年9月19日，深市期权新品种——创业板ETF期权（</w:t>
      </w:r>
      <w:r w:rsidR="00D61301">
        <w:rPr>
          <w:rFonts w:ascii="仿宋" w:eastAsia="仿宋" w:hAnsi="仿宋" w:hint="eastAsia"/>
          <w:sz w:val="32"/>
        </w:rPr>
        <w:t>标的为创业板ETF，代码</w:t>
      </w:r>
      <w:r>
        <w:rPr>
          <w:rFonts w:ascii="仿宋" w:eastAsia="仿宋" w:hAnsi="仿宋" w:hint="eastAsia"/>
          <w:sz w:val="32"/>
        </w:rPr>
        <w:t>159915）、中证500ETF期权（</w:t>
      </w:r>
      <w:r w:rsidR="00D61301">
        <w:rPr>
          <w:rFonts w:ascii="仿宋" w:eastAsia="仿宋" w:hAnsi="仿宋" w:hint="eastAsia"/>
          <w:sz w:val="32"/>
        </w:rPr>
        <w:t>标的为中证500ETF，代码</w:t>
      </w:r>
      <w:r>
        <w:rPr>
          <w:rFonts w:ascii="仿宋" w:eastAsia="仿宋" w:hAnsi="仿宋" w:hint="eastAsia"/>
          <w:sz w:val="32"/>
        </w:rPr>
        <w:t>159922）上市交易。为帮助投资者系统了解期权产品特征、理性参与期权交易、有效提升风险管理能力，深交所联合市场机构推出“期权入市手册”系列连载文章。今天是第</w:t>
      </w:r>
      <w:r w:rsidR="00045881">
        <w:rPr>
          <w:rFonts w:ascii="仿宋" w:eastAsia="仿宋" w:hAnsi="仿宋" w:hint="eastAsia"/>
          <w:sz w:val="32"/>
        </w:rPr>
        <w:t>15</w:t>
      </w:r>
      <w:r>
        <w:rPr>
          <w:rFonts w:ascii="仿宋" w:eastAsia="仿宋" w:hAnsi="仿宋" w:hint="eastAsia"/>
          <w:sz w:val="32"/>
        </w:rPr>
        <w:t>期，让</w:t>
      </w:r>
      <w:r w:rsidR="00EC7ADB">
        <w:rPr>
          <w:rFonts w:ascii="仿宋" w:eastAsia="仿宋" w:hAnsi="仿宋" w:hint="eastAsia"/>
          <w:sz w:val="32"/>
        </w:rPr>
        <w:t>我们</w:t>
      </w:r>
      <w:r>
        <w:rPr>
          <w:rFonts w:ascii="仿宋" w:eastAsia="仿宋" w:hAnsi="仿宋" w:hint="eastAsia"/>
          <w:sz w:val="32"/>
        </w:rPr>
        <w:t>了解期权</w:t>
      </w:r>
      <w:r w:rsidR="00BE7BD7">
        <w:rPr>
          <w:rFonts w:ascii="仿宋" w:eastAsia="仿宋" w:hAnsi="仿宋" w:hint="eastAsia"/>
          <w:sz w:val="32"/>
        </w:rPr>
        <w:t>交易</w:t>
      </w:r>
      <w:r w:rsidR="002B669E">
        <w:rPr>
          <w:rFonts w:ascii="仿宋" w:eastAsia="仿宋" w:hAnsi="仿宋" w:hint="eastAsia"/>
          <w:sz w:val="32"/>
        </w:rPr>
        <w:t>和</w:t>
      </w:r>
      <w:r w:rsidR="00BE7BD7">
        <w:rPr>
          <w:rFonts w:ascii="仿宋" w:eastAsia="仿宋" w:hAnsi="仿宋" w:hint="eastAsia"/>
          <w:sz w:val="32"/>
        </w:rPr>
        <w:t>常用</w:t>
      </w:r>
      <w:r w:rsidR="002B669E">
        <w:rPr>
          <w:rFonts w:ascii="仿宋" w:eastAsia="仿宋" w:hAnsi="仿宋" w:hint="eastAsia"/>
          <w:sz w:val="32"/>
        </w:rPr>
        <w:t>的软件</w:t>
      </w:r>
      <w:r w:rsidR="00BE7BD7">
        <w:rPr>
          <w:rFonts w:ascii="仿宋" w:eastAsia="仿宋" w:hAnsi="仿宋" w:hint="eastAsia"/>
          <w:sz w:val="32"/>
        </w:rPr>
        <w:t>操作</w:t>
      </w:r>
      <w:r>
        <w:rPr>
          <w:rFonts w:ascii="仿宋" w:eastAsia="仿宋" w:hAnsi="仿宋" w:hint="eastAsia"/>
          <w:sz w:val="32"/>
        </w:rPr>
        <w:t>吧！</w:t>
      </w:r>
    </w:p>
    <w:p w:rsidR="00F05D98" w:rsidRDefault="00F05D98">
      <w:pPr>
        <w:spacing w:line="560" w:lineRule="exact"/>
        <w:rPr>
          <w:rFonts w:ascii="仿宋" w:eastAsia="仿宋" w:hAnsi="仿宋"/>
          <w:sz w:val="32"/>
        </w:rPr>
      </w:pPr>
    </w:p>
    <w:p w:rsidR="00B51E4A" w:rsidRPr="00B51E4A" w:rsidRDefault="00B51E4A" w:rsidP="00B51E4A">
      <w:pPr>
        <w:keepNext/>
        <w:keepLines/>
        <w:numPr>
          <w:ilvl w:val="0"/>
          <w:numId w:val="2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1" w:name="_Toc110968016"/>
      <w:r w:rsidRPr="00B51E4A">
        <w:rPr>
          <w:rFonts w:ascii="仿宋" w:eastAsia="仿宋" w:hAnsi="仿宋" w:cs="Times New Roman"/>
          <w:b/>
          <w:bCs/>
          <w:sz w:val="32"/>
          <w:szCs w:val="32"/>
        </w:rPr>
        <w:t>如何</w:t>
      </w:r>
      <w:r w:rsidRPr="00B51E4A">
        <w:rPr>
          <w:rFonts w:ascii="仿宋" w:eastAsia="仿宋" w:hAnsi="仿宋" w:cs="Times New Roman" w:hint="eastAsia"/>
          <w:b/>
          <w:bCs/>
          <w:sz w:val="32"/>
          <w:szCs w:val="32"/>
        </w:rPr>
        <w:t>进行期权交易</w:t>
      </w:r>
      <w:r w:rsidRPr="00B51E4A">
        <w:rPr>
          <w:rFonts w:ascii="仿宋" w:eastAsia="仿宋" w:hAnsi="仿宋" w:cs="Times New Roman"/>
          <w:b/>
          <w:bCs/>
          <w:sz w:val="32"/>
          <w:szCs w:val="32"/>
        </w:rPr>
        <w:t>？</w:t>
      </w:r>
      <w:bookmarkEnd w:id="1"/>
    </w:p>
    <w:p w:rsidR="00B51E4A" w:rsidRPr="00BD69F8" w:rsidRDefault="00B51E4A" w:rsidP="00B51E4A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投资者进行期权交易时，可在交易界面确认开仓</w:t>
      </w:r>
      <w:r w:rsidR="00F25026">
        <w:rPr>
          <w:rFonts w:ascii="仿宋" w:eastAsia="仿宋" w:hAnsi="仿宋" w:cs="Times New Roman" w:hint="eastAsia"/>
          <w:sz w:val="32"/>
          <w:szCs w:val="32"/>
        </w:rPr>
        <w:t>或</w:t>
      </w:r>
      <w:r w:rsidRPr="00BD69F8">
        <w:rPr>
          <w:rFonts w:ascii="仿宋" w:eastAsia="仿宋" w:hAnsi="仿宋" w:cs="Times New Roman"/>
          <w:sz w:val="32"/>
          <w:szCs w:val="32"/>
        </w:rPr>
        <w:t>平仓、交易价格、交易数量等要素后，</w:t>
      </w:r>
      <w:r w:rsidRPr="00BD69F8">
        <w:rPr>
          <w:rFonts w:ascii="仿宋" w:eastAsia="仿宋" w:hAnsi="仿宋" w:cs="Times New Roman" w:hint="eastAsia"/>
          <w:sz w:val="32"/>
          <w:szCs w:val="32"/>
        </w:rPr>
        <w:t>选择</w:t>
      </w:r>
      <w:r w:rsidRPr="00BD69F8">
        <w:rPr>
          <w:rFonts w:ascii="仿宋" w:eastAsia="仿宋" w:hAnsi="仿宋" w:cs="Times New Roman"/>
          <w:sz w:val="32"/>
          <w:szCs w:val="32"/>
        </w:rPr>
        <w:t>买入或卖出。</w:t>
      </w:r>
    </w:p>
    <w:p w:rsidR="00B51E4A" w:rsidRPr="00AB2EAC" w:rsidRDefault="00AB2EAC" w:rsidP="00B51E4A">
      <w:pPr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 wp14:anchorId="1378CBC2" wp14:editId="1C2D7F69">
            <wp:extent cx="4256690" cy="2948151"/>
            <wp:effectExtent l="0" t="0" r="0" b="5080"/>
            <wp:docPr id="2" name="图片 2" descr="d:\Users\xbai.oth\Desktop\1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xbai.oth\Desktop\15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294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E4A" w:rsidRPr="00BD69F8" w:rsidRDefault="00B51E4A" w:rsidP="00B51E4A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lastRenderedPageBreak/>
        <w:t>开仓包</w:t>
      </w:r>
      <w:r w:rsidRPr="00BD69F8">
        <w:rPr>
          <w:rFonts w:ascii="仿宋" w:eastAsia="仿宋" w:hAnsi="仿宋" w:cs="Times New Roman" w:hint="eastAsia"/>
          <w:sz w:val="32"/>
          <w:szCs w:val="32"/>
        </w:rPr>
        <w:t>括</w:t>
      </w:r>
      <w:r w:rsidRPr="00BD69F8">
        <w:rPr>
          <w:rFonts w:ascii="仿宋" w:eastAsia="仿宋" w:hAnsi="仿宋" w:cs="Times New Roman"/>
          <w:sz w:val="32"/>
          <w:szCs w:val="32"/>
        </w:rPr>
        <w:t>买入开仓、卖出开仓两个方向，平仓同样也包</w:t>
      </w:r>
      <w:r w:rsidRPr="00BD69F8">
        <w:rPr>
          <w:rFonts w:ascii="仿宋" w:eastAsia="仿宋" w:hAnsi="仿宋" w:cs="Times New Roman" w:hint="eastAsia"/>
          <w:sz w:val="32"/>
          <w:szCs w:val="32"/>
        </w:rPr>
        <w:t>括</w:t>
      </w:r>
      <w:r w:rsidRPr="00BD69F8">
        <w:rPr>
          <w:rFonts w:ascii="仿宋" w:eastAsia="仿宋" w:hAnsi="仿宋" w:cs="Times New Roman"/>
          <w:sz w:val="32"/>
          <w:szCs w:val="32"/>
        </w:rPr>
        <w:t>买入平仓、卖出平仓两个方向。如果投资者先进行了买入开仓操作，对应的平仓操作就是卖出平仓；如果投资者先进行了卖出开仓操作，对应的平仓操作就是买入平仓。</w:t>
      </w:r>
    </w:p>
    <w:p w:rsidR="00B51E4A" w:rsidRPr="00BD69F8" w:rsidRDefault="00B51E4A" w:rsidP="00B51E4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一般情况下</w:t>
      </w:r>
      <w:r w:rsidRPr="00BD69F8">
        <w:rPr>
          <w:rFonts w:ascii="仿宋" w:eastAsia="仿宋" w:hAnsi="仿宋" w:cs="Times New Roman" w:hint="eastAsia"/>
          <w:sz w:val="32"/>
          <w:szCs w:val="32"/>
        </w:rPr>
        <w:t>，</w:t>
      </w:r>
      <w:r w:rsidRPr="00BD69F8">
        <w:rPr>
          <w:rFonts w:ascii="仿宋" w:eastAsia="仿宋" w:hAnsi="仿宋" w:cs="Times New Roman"/>
          <w:sz w:val="32"/>
          <w:szCs w:val="32"/>
        </w:rPr>
        <w:t>卖出开仓需要冻结保证金作为担保。卖出认购期权也可使用全额标的证券作为担保，即备兑开仓，投资者应在深市衍生品合约账户对应的A股账户中备足合约对应的全额标的证券，同时，在交易界面勾选</w:t>
      </w:r>
      <w:r w:rsidRPr="00BD69F8">
        <w:rPr>
          <w:rFonts w:ascii="仿宋" w:eastAsia="仿宋" w:hAnsi="仿宋" w:cs="Times New Roman" w:hint="eastAsia"/>
          <w:sz w:val="32"/>
          <w:szCs w:val="32"/>
        </w:rPr>
        <w:t>“</w:t>
      </w:r>
      <w:r w:rsidRPr="00BD69F8">
        <w:rPr>
          <w:rFonts w:ascii="仿宋" w:eastAsia="仿宋" w:hAnsi="仿宋" w:cs="Times New Roman"/>
          <w:sz w:val="32"/>
          <w:szCs w:val="32"/>
        </w:rPr>
        <w:t>备兑</w:t>
      </w:r>
      <w:r w:rsidRPr="00BD69F8">
        <w:rPr>
          <w:rFonts w:ascii="仿宋" w:eastAsia="仿宋" w:hAnsi="仿宋" w:cs="Times New Roman" w:hint="eastAsia"/>
          <w:sz w:val="32"/>
          <w:szCs w:val="32"/>
        </w:rPr>
        <w:t>”</w:t>
      </w:r>
      <w:r w:rsidRPr="00BD69F8">
        <w:rPr>
          <w:rFonts w:ascii="仿宋" w:eastAsia="仿宋" w:hAnsi="仿宋" w:cs="Times New Roman"/>
          <w:sz w:val="32"/>
          <w:szCs w:val="32"/>
        </w:rPr>
        <w:t>复选框，方可进行开仓交易。</w:t>
      </w:r>
    </w:p>
    <w:p w:rsidR="00B51E4A" w:rsidRPr="00922D35" w:rsidRDefault="00B51E4A" w:rsidP="00B51E4A">
      <w:pPr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922D35">
        <w:rPr>
          <w:rFonts w:ascii="仿宋" w:eastAsia="仿宋" w:hAnsi="仿宋" w:cs="Times New Roman" w:hint="eastAsia"/>
          <w:b/>
          <w:sz w:val="32"/>
          <w:szCs w:val="32"/>
        </w:rPr>
        <w:t>【小贴士</w:t>
      </w:r>
      <w:r w:rsidRPr="00922D35">
        <w:rPr>
          <w:rFonts w:ascii="仿宋" w:eastAsia="仿宋" w:hAnsi="仿宋" w:cs="Times New Roman"/>
          <w:b/>
          <w:sz w:val="32"/>
          <w:szCs w:val="32"/>
        </w:rPr>
        <w:t>】</w:t>
      </w:r>
    </w:p>
    <w:p w:rsidR="00B51E4A" w:rsidRDefault="00B51E4A" w:rsidP="00B51E4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 w:hint="eastAsia"/>
          <w:sz w:val="32"/>
          <w:szCs w:val="32"/>
        </w:rPr>
        <w:t>例如，备兑卖出</w:t>
      </w:r>
      <w:r w:rsidRPr="00BD69F8">
        <w:rPr>
          <w:rFonts w:ascii="仿宋" w:eastAsia="仿宋" w:hAnsi="仿宋" w:cs="Times New Roman"/>
          <w:sz w:val="32"/>
          <w:szCs w:val="32"/>
        </w:rPr>
        <w:t>1张认购期权，</w:t>
      </w:r>
      <w:r w:rsidRPr="00BD69F8">
        <w:rPr>
          <w:rFonts w:ascii="仿宋" w:eastAsia="仿宋" w:hAnsi="仿宋" w:cs="Times New Roman" w:hint="eastAsia"/>
          <w:sz w:val="32"/>
          <w:szCs w:val="32"/>
        </w:rPr>
        <w:t>需要</w:t>
      </w:r>
      <w:r w:rsidRPr="00BD69F8">
        <w:rPr>
          <w:rFonts w:ascii="仿宋" w:eastAsia="仿宋" w:hAnsi="仿宋" w:cs="Times New Roman"/>
          <w:sz w:val="32"/>
          <w:szCs w:val="32"/>
        </w:rPr>
        <w:t>准备10,000份ETF</w:t>
      </w:r>
      <w:r w:rsidRPr="00BD69F8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51E4A" w:rsidRPr="00BD69F8" w:rsidRDefault="00B51E4A" w:rsidP="00B51E4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51E4A" w:rsidRPr="00BD69F8" w:rsidRDefault="00B51E4A" w:rsidP="00B51E4A">
      <w:pPr>
        <w:keepNext/>
        <w:keepLines/>
        <w:numPr>
          <w:ilvl w:val="0"/>
          <w:numId w:val="2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2" w:name="_Toc110968017"/>
      <w:r w:rsidRPr="00BD69F8">
        <w:rPr>
          <w:rFonts w:ascii="仿宋" w:eastAsia="仿宋" w:hAnsi="仿宋" w:cs="Times New Roman"/>
          <w:b/>
          <w:bCs/>
          <w:sz w:val="32"/>
          <w:szCs w:val="32"/>
        </w:rPr>
        <w:t>如何</w:t>
      </w:r>
      <w:proofErr w:type="gramStart"/>
      <w:r w:rsidRPr="00BD69F8">
        <w:rPr>
          <w:rFonts w:ascii="仿宋" w:eastAsia="仿宋" w:hAnsi="仿宋" w:cs="Times New Roman"/>
          <w:b/>
          <w:bCs/>
          <w:sz w:val="32"/>
          <w:szCs w:val="32"/>
        </w:rPr>
        <w:t>使用拆单功能</w:t>
      </w:r>
      <w:proofErr w:type="gramEnd"/>
      <w:r w:rsidRPr="00BD69F8">
        <w:rPr>
          <w:rFonts w:ascii="仿宋" w:eastAsia="仿宋" w:hAnsi="仿宋" w:cs="Times New Roman"/>
          <w:b/>
          <w:bCs/>
          <w:sz w:val="32"/>
          <w:szCs w:val="32"/>
        </w:rPr>
        <w:t>？</w:t>
      </w:r>
      <w:bookmarkEnd w:id="2"/>
    </w:p>
    <w:p w:rsidR="00B51E4A" w:rsidRPr="00BD69F8" w:rsidRDefault="00B51E4A" w:rsidP="00B51E4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根据深交所规定，投资者参与期权交易的每笔委托，如果是限价申报，最高数量不可超过50张，如果是市价申报，最高数量不可超过10张。超过上述委托数量的指令将被拒绝。</w:t>
      </w:r>
    </w:p>
    <w:p w:rsidR="00B51E4A" w:rsidRPr="00BD69F8" w:rsidRDefault="00B51E4A" w:rsidP="00B51E4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期权交易系统</w:t>
      </w:r>
      <w:r w:rsidR="003A5C02">
        <w:rPr>
          <w:rFonts w:ascii="仿宋" w:eastAsia="仿宋" w:hAnsi="仿宋" w:cs="Times New Roman" w:hint="eastAsia"/>
          <w:sz w:val="32"/>
          <w:szCs w:val="32"/>
        </w:rPr>
        <w:t>通</w:t>
      </w:r>
      <w:r w:rsidRPr="00BD69F8">
        <w:rPr>
          <w:rFonts w:ascii="仿宋" w:eastAsia="仿宋" w:hAnsi="仿宋" w:cs="Times New Roman"/>
          <w:sz w:val="32"/>
          <w:szCs w:val="32"/>
        </w:rPr>
        <w:t>常</w:t>
      </w:r>
      <w:proofErr w:type="gramStart"/>
      <w:r w:rsidRPr="00BD69F8">
        <w:rPr>
          <w:rFonts w:ascii="仿宋" w:eastAsia="仿宋" w:hAnsi="仿宋" w:cs="Times New Roman"/>
          <w:sz w:val="32"/>
          <w:szCs w:val="32"/>
        </w:rPr>
        <w:t>具备拆单功能</w:t>
      </w:r>
      <w:proofErr w:type="gramEnd"/>
      <w:r w:rsidRPr="00BD69F8">
        <w:rPr>
          <w:rFonts w:ascii="仿宋" w:eastAsia="仿宋" w:hAnsi="仿宋" w:cs="Times New Roman"/>
          <w:sz w:val="32"/>
          <w:szCs w:val="32"/>
        </w:rPr>
        <w:t>，即投资者可根据交易需要，把相对较大交易数量的</w:t>
      </w:r>
      <w:proofErr w:type="gramStart"/>
      <w:r w:rsidRPr="00BD69F8">
        <w:rPr>
          <w:rFonts w:ascii="仿宋" w:eastAsia="仿宋" w:hAnsi="仿宋" w:cs="Times New Roman"/>
          <w:sz w:val="32"/>
          <w:szCs w:val="32"/>
        </w:rPr>
        <w:t>委托按设置</w:t>
      </w:r>
      <w:proofErr w:type="gramEnd"/>
      <w:r w:rsidRPr="00BD69F8">
        <w:rPr>
          <w:rFonts w:ascii="仿宋" w:eastAsia="仿宋" w:hAnsi="仿宋" w:cs="Times New Roman"/>
          <w:sz w:val="32"/>
          <w:szCs w:val="32"/>
        </w:rPr>
        <w:t>的规则拆分成多笔较小交易数量的委托依次发送，</w:t>
      </w:r>
      <w:r w:rsidRPr="00BD69F8">
        <w:rPr>
          <w:rFonts w:ascii="仿宋" w:eastAsia="仿宋" w:hAnsi="仿宋" w:cs="Times New Roman" w:hint="eastAsia"/>
          <w:sz w:val="32"/>
          <w:szCs w:val="32"/>
        </w:rPr>
        <w:t>以</w:t>
      </w:r>
      <w:r w:rsidRPr="00BD69F8">
        <w:rPr>
          <w:rFonts w:ascii="仿宋" w:eastAsia="仿宋" w:hAnsi="仿宋" w:cs="Times New Roman"/>
          <w:sz w:val="32"/>
          <w:szCs w:val="32"/>
        </w:rPr>
        <w:t>满足交易所单笔委托数量的要求。</w:t>
      </w:r>
    </w:p>
    <w:p w:rsidR="00B51E4A" w:rsidRDefault="00B51E4A" w:rsidP="00B51E4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比如，投资者提交了一笔期权交易委托，委托数量是100张，由于前端控制该笔委托无法发出。如果投资者设置</w:t>
      </w:r>
      <w:proofErr w:type="gramStart"/>
      <w:r w:rsidRPr="00BD69F8">
        <w:rPr>
          <w:rFonts w:ascii="仿宋" w:eastAsia="仿宋" w:hAnsi="仿宋" w:cs="Times New Roman"/>
          <w:sz w:val="32"/>
          <w:szCs w:val="32"/>
        </w:rPr>
        <w:t>了拆单功能</w:t>
      </w:r>
      <w:proofErr w:type="gramEnd"/>
      <w:r w:rsidRPr="00BD69F8">
        <w:rPr>
          <w:rFonts w:ascii="仿宋" w:eastAsia="仿宋" w:hAnsi="仿宋" w:cs="Times New Roman"/>
          <w:sz w:val="32"/>
          <w:szCs w:val="32"/>
        </w:rPr>
        <w:t>，</w:t>
      </w:r>
      <w:proofErr w:type="gramStart"/>
      <w:r w:rsidRPr="00BD69F8">
        <w:rPr>
          <w:rFonts w:ascii="仿宋" w:eastAsia="仿宋" w:hAnsi="仿宋" w:cs="Times New Roman"/>
          <w:sz w:val="32"/>
          <w:szCs w:val="32"/>
        </w:rPr>
        <w:t>拆单参数</w:t>
      </w:r>
      <w:proofErr w:type="gramEnd"/>
      <w:r w:rsidRPr="00BD69F8">
        <w:rPr>
          <w:rFonts w:ascii="仿宋" w:eastAsia="仿宋" w:hAnsi="仿宋" w:cs="Times New Roman"/>
          <w:sz w:val="32"/>
          <w:szCs w:val="32"/>
        </w:rPr>
        <w:t>设置为5，系统会自动按照每笔委托数量</w:t>
      </w:r>
      <w:r w:rsidRPr="00BD69F8">
        <w:rPr>
          <w:rFonts w:ascii="仿宋" w:eastAsia="仿宋" w:hAnsi="仿宋" w:cs="Times New Roman"/>
          <w:sz w:val="32"/>
          <w:szCs w:val="32"/>
        </w:rPr>
        <w:lastRenderedPageBreak/>
        <w:t>5张，拆分为20笔5张的委托按照一定时间间隔依次报送。</w:t>
      </w:r>
    </w:p>
    <w:p w:rsidR="00B51E4A" w:rsidRPr="00BD69F8" w:rsidRDefault="00B51E4A" w:rsidP="00B51E4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B51E4A" w:rsidRPr="00BD69F8" w:rsidRDefault="00B51E4A" w:rsidP="00B51E4A">
      <w:pPr>
        <w:keepNext/>
        <w:keepLines/>
        <w:numPr>
          <w:ilvl w:val="0"/>
          <w:numId w:val="2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3" w:name="_Toc110968018"/>
      <w:r w:rsidRPr="00BD69F8">
        <w:rPr>
          <w:rFonts w:ascii="仿宋" w:eastAsia="仿宋" w:hAnsi="仿宋" w:cs="Times New Roman"/>
          <w:b/>
          <w:bCs/>
          <w:sz w:val="32"/>
          <w:szCs w:val="32"/>
        </w:rPr>
        <w:t>如何进</w:t>
      </w:r>
      <w:proofErr w:type="gramStart"/>
      <w:r w:rsidRPr="00BD69F8">
        <w:rPr>
          <w:rFonts w:ascii="仿宋" w:eastAsia="仿宋" w:hAnsi="仿宋" w:cs="Times New Roman"/>
          <w:b/>
          <w:bCs/>
          <w:sz w:val="32"/>
          <w:szCs w:val="32"/>
        </w:rPr>
        <w:t>行行权操作</w:t>
      </w:r>
      <w:proofErr w:type="gramEnd"/>
      <w:r w:rsidRPr="00BD69F8">
        <w:rPr>
          <w:rFonts w:ascii="仿宋" w:eastAsia="仿宋" w:hAnsi="仿宋" w:cs="Times New Roman"/>
          <w:b/>
          <w:bCs/>
          <w:sz w:val="32"/>
          <w:szCs w:val="32"/>
        </w:rPr>
        <w:t>与查询指派信息？</w:t>
      </w:r>
      <w:bookmarkEnd w:id="3"/>
    </w:p>
    <w:p w:rsidR="00B51E4A" w:rsidRPr="00BD69F8" w:rsidRDefault="00B51E4A" w:rsidP="00B51E4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在每个行权日的9:15</w:t>
      </w:r>
      <w:r w:rsidRPr="00BD69F8">
        <w:rPr>
          <w:rFonts w:ascii="仿宋" w:eastAsia="仿宋" w:hAnsi="仿宋" w:cs="Times New Roman" w:hint="eastAsia"/>
          <w:sz w:val="32"/>
          <w:szCs w:val="32"/>
        </w:rPr>
        <w:t>至</w:t>
      </w:r>
      <w:r w:rsidRPr="00BD69F8">
        <w:rPr>
          <w:rFonts w:ascii="仿宋" w:eastAsia="仿宋" w:hAnsi="仿宋" w:cs="Times New Roman"/>
          <w:sz w:val="32"/>
          <w:szCs w:val="32"/>
        </w:rPr>
        <w:t>11:30，13:00</w:t>
      </w:r>
      <w:r w:rsidRPr="00BD69F8">
        <w:rPr>
          <w:rFonts w:ascii="仿宋" w:eastAsia="仿宋" w:hAnsi="仿宋" w:cs="Times New Roman" w:hint="eastAsia"/>
          <w:sz w:val="32"/>
          <w:szCs w:val="32"/>
        </w:rPr>
        <w:t>至</w:t>
      </w:r>
      <w:r w:rsidRPr="00BD69F8">
        <w:rPr>
          <w:rFonts w:ascii="仿宋" w:eastAsia="仿宋" w:hAnsi="仿宋" w:cs="Times New Roman"/>
          <w:sz w:val="32"/>
          <w:szCs w:val="32"/>
        </w:rPr>
        <w:t>15:30，权利方可提交行权委托。</w:t>
      </w:r>
    </w:p>
    <w:p w:rsidR="00B51E4A" w:rsidRPr="00BD69F8" w:rsidRDefault="00B51E4A" w:rsidP="00B51E4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权利方在行权日要确认自身是否需要行权</w:t>
      </w:r>
      <w:r>
        <w:rPr>
          <w:rFonts w:ascii="仿宋" w:eastAsia="仿宋" w:hAnsi="仿宋" w:cs="Times New Roman"/>
          <w:sz w:val="32"/>
          <w:szCs w:val="32"/>
        </w:rPr>
        <w:t>。</w:t>
      </w:r>
      <w:r w:rsidRPr="00BD69F8">
        <w:rPr>
          <w:rFonts w:ascii="仿宋" w:eastAsia="仿宋" w:hAnsi="仿宋" w:cs="Times New Roman"/>
          <w:sz w:val="32"/>
          <w:szCs w:val="32"/>
        </w:rPr>
        <w:t>如要行权，需确保正确操作并成功提交行权委托，投资者在行权菜单依次输入期权代码、行权数量，点击</w:t>
      </w:r>
      <w:r w:rsidRPr="00BD69F8">
        <w:rPr>
          <w:rFonts w:ascii="仿宋" w:eastAsia="仿宋" w:hAnsi="仿宋" w:cs="Times New Roman" w:hint="eastAsia"/>
          <w:sz w:val="32"/>
          <w:szCs w:val="32"/>
        </w:rPr>
        <w:t>“</w:t>
      </w:r>
      <w:r w:rsidRPr="00BD69F8">
        <w:rPr>
          <w:rFonts w:ascii="仿宋" w:eastAsia="仿宋" w:hAnsi="仿宋" w:cs="Times New Roman"/>
          <w:sz w:val="32"/>
          <w:szCs w:val="32"/>
        </w:rPr>
        <w:t>行权</w:t>
      </w:r>
      <w:r w:rsidRPr="00BD69F8">
        <w:rPr>
          <w:rFonts w:ascii="仿宋" w:eastAsia="仿宋" w:hAnsi="仿宋" w:cs="Times New Roman" w:hint="eastAsia"/>
          <w:sz w:val="32"/>
          <w:szCs w:val="32"/>
        </w:rPr>
        <w:t>”</w:t>
      </w:r>
      <w:r w:rsidRPr="00BD69F8">
        <w:rPr>
          <w:rFonts w:ascii="仿宋" w:eastAsia="仿宋" w:hAnsi="仿宋" w:cs="Times New Roman"/>
          <w:sz w:val="32"/>
          <w:szCs w:val="32"/>
        </w:rPr>
        <w:t>确认键，然后至</w:t>
      </w:r>
      <w:r>
        <w:rPr>
          <w:rFonts w:ascii="仿宋" w:eastAsia="仿宋" w:hAnsi="仿宋" w:cs="Times New Roman"/>
          <w:sz w:val="32"/>
          <w:szCs w:val="32"/>
        </w:rPr>
        <w:t>“</w:t>
      </w:r>
      <w:r w:rsidRPr="00BD69F8">
        <w:rPr>
          <w:rFonts w:ascii="仿宋" w:eastAsia="仿宋" w:hAnsi="仿宋" w:cs="Times New Roman"/>
          <w:sz w:val="32"/>
          <w:szCs w:val="32"/>
        </w:rPr>
        <w:t>委托</w:t>
      </w:r>
      <w:r>
        <w:rPr>
          <w:rFonts w:ascii="仿宋" w:eastAsia="仿宋" w:hAnsi="仿宋" w:cs="Times New Roman"/>
          <w:sz w:val="32"/>
          <w:szCs w:val="32"/>
        </w:rPr>
        <w:t>”</w:t>
      </w:r>
      <w:r w:rsidRPr="00BD69F8">
        <w:rPr>
          <w:rFonts w:ascii="仿宋" w:eastAsia="仿宋" w:hAnsi="仿宋" w:cs="Times New Roman"/>
          <w:sz w:val="32"/>
          <w:szCs w:val="32"/>
        </w:rPr>
        <w:t>处查询行权委托是否成功提交。通常情况下，期权经纪商会校验权利方</w:t>
      </w:r>
      <w:r>
        <w:rPr>
          <w:rFonts w:ascii="仿宋" w:eastAsia="仿宋" w:hAnsi="仿宋" w:cs="Times New Roman"/>
          <w:sz w:val="32"/>
          <w:szCs w:val="32"/>
        </w:rPr>
        <w:t>是否</w:t>
      </w:r>
      <w:r w:rsidRPr="00BD69F8">
        <w:rPr>
          <w:rFonts w:ascii="仿宋" w:eastAsia="仿宋" w:hAnsi="仿宋" w:cs="Times New Roman"/>
          <w:sz w:val="32"/>
          <w:szCs w:val="32"/>
        </w:rPr>
        <w:t>有足额可参与行权的资金或证券，再将行权委托报送至深交所。</w:t>
      </w:r>
    </w:p>
    <w:p w:rsidR="00B51E4A" w:rsidRPr="00BD69F8" w:rsidRDefault="00AB2EAC" w:rsidP="00B51E4A">
      <w:pPr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 wp14:anchorId="75D8C11B" wp14:editId="17751934">
            <wp:extent cx="4125595" cy="3179445"/>
            <wp:effectExtent l="0" t="0" r="8255" b="1905"/>
            <wp:docPr id="5" name="图片 5" descr="d:\Users\xbai.oth\Desktop\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xbai.oth\Desktop\15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E4A" w:rsidRPr="00BD69F8" w:rsidRDefault="00B51E4A" w:rsidP="00B51E4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如果权利方行权失败或者</w:t>
      </w:r>
      <w:r w:rsidRPr="00BD69F8">
        <w:rPr>
          <w:rFonts w:ascii="仿宋" w:eastAsia="仿宋" w:hAnsi="仿宋" w:cs="Times New Roman" w:hint="eastAsia"/>
          <w:sz w:val="32"/>
          <w:szCs w:val="32"/>
        </w:rPr>
        <w:t>未</w:t>
      </w:r>
      <w:r w:rsidRPr="00BD69F8">
        <w:rPr>
          <w:rFonts w:ascii="仿宋" w:eastAsia="仿宋" w:hAnsi="仿宋" w:cs="Times New Roman"/>
          <w:sz w:val="32"/>
          <w:szCs w:val="32"/>
        </w:rPr>
        <w:t>行权，期权合约</w:t>
      </w:r>
      <w:r>
        <w:rPr>
          <w:rFonts w:ascii="仿宋" w:eastAsia="仿宋" w:hAnsi="仿宋" w:cs="Times New Roman" w:hint="eastAsia"/>
          <w:sz w:val="32"/>
          <w:szCs w:val="32"/>
        </w:rPr>
        <w:t>到期后</w:t>
      </w:r>
      <w:r>
        <w:rPr>
          <w:rFonts w:ascii="仿宋" w:eastAsia="仿宋" w:hAnsi="仿宋" w:cs="Times New Roman"/>
          <w:sz w:val="32"/>
          <w:szCs w:val="32"/>
        </w:rPr>
        <w:t>即予摘牌</w:t>
      </w:r>
      <w:r w:rsidRPr="00BD69F8">
        <w:rPr>
          <w:rFonts w:ascii="仿宋" w:eastAsia="仿宋" w:hAnsi="仿宋" w:cs="Times New Roman"/>
          <w:sz w:val="32"/>
          <w:szCs w:val="32"/>
        </w:rPr>
        <w:t>，</w:t>
      </w:r>
      <w:r w:rsidRPr="00BD69F8">
        <w:rPr>
          <w:rFonts w:ascii="仿宋" w:eastAsia="仿宋" w:hAnsi="仿宋" w:cs="Times New Roman" w:hint="eastAsia"/>
          <w:sz w:val="32"/>
          <w:szCs w:val="32"/>
        </w:rPr>
        <w:t>可能</w:t>
      </w:r>
      <w:r w:rsidRPr="00BD69F8">
        <w:rPr>
          <w:rFonts w:ascii="仿宋" w:eastAsia="仿宋" w:hAnsi="仿宋" w:cs="Times New Roman"/>
          <w:sz w:val="32"/>
          <w:szCs w:val="32"/>
        </w:rPr>
        <w:t>造成损失。</w:t>
      </w:r>
    </w:p>
    <w:p w:rsidR="00B51E4A" w:rsidRPr="00BD69F8" w:rsidRDefault="00AB2EAC" w:rsidP="00B51E4A">
      <w:pPr>
        <w:spacing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lastRenderedPageBreak/>
        <w:drawing>
          <wp:inline distT="0" distB="0" distL="0" distR="0" wp14:anchorId="1FFC08C4" wp14:editId="22E91355">
            <wp:extent cx="5273675" cy="1488440"/>
            <wp:effectExtent l="0" t="0" r="3175" b="0"/>
            <wp:docPr id="6" name="图片 6" descr="C:\Users\xbai.oth\Pictures\1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bai.oth\Pictures\15-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E4A" w:rsidRPr="00BD69F8" w:rsidRDefault="00B51E4A" w:rsidP="00B51E4A">
      <w:pPr>
        <w:spacing w:line="560" w:lineRule="exact"/>
        <w:ind w:firstLineChars="200" w:firstLine="640"/>
        <w:rPr>
          <w:rFonts w:ascii="仿宋" w:eastAsia="仿宋" w:hAnsi="仿宋" w:cs="Times New Roman"/>
          <w:sz w:val="40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义务方在行权日日终需及时查看自身</w:t>
      </w:r>
      <w:r>
        <w:rPr>
          <w:rFonts w:ascii="仿宋" w:eastAsia="仿宋" w:hAnsi="仿宋" w:cs="Times New Roman" w:hint="eastAsia"/>
          <w:sz w:val="32"/>
          <w:szCs w:val="32"/>
        </w:rPr>
        <w:t>是否</w:t>
      </w:r>
      <w:r w:rsidRPr="00BD69F8">
        <w:rPr>
          <w:rFonts w:ascii="仿宋" w:eastAsia="仿宋" w:hAnsi="仿宋" w:cs="Times New Roman"/>
          <w:sz w:val="32"/>
          <w:szCs w:val="32"/>
        </w:rPr>
        <w:t>被指派</w:t>
      </w:r>
      <w:r w:rsidR="003A5C02">
        <w:rPr>
          <w:rFonts w:ascii="仿宋" w:eastAsia="仿宋" w:hAnsi="仿宋" w:cs="Times New Roman"/>
          <w:sz w:val="32"/>
          <w:szCs w:val="32"/>
        </w:rPr>
        <w:t>行权</w:t>
      </w:r>
      <w:r w:rsidRPr="00BD69F8">
        <w:rPr>
          <w:rFonts w:ascii="仿宋" w:eastAsia="仿宋" w:hAnsi="仿宋" w:cs="Times New Roman"/>
          <w:sz w:val="32"/>
          <w:szCs w:val="32"/>
        </w:rPr>
        <w:t>，如果被指派，</w:t>
      </w:r>
      <w:r>
        <w:rPr>
          <w:rFonts w:ascii="仿宋" w:eastAsia="仿宋" w:hAnsi="仿宋" w:cs="Times New Roman"/>
          <w:sz w:val="32"/>
          <w:szCs w:val="32"/>
        </w:rPr>
        <w:t>则</w:t>
      </w:r>
      <w:r w:rsidRPr="00BD69F8">
        <w:rPr>
          <w:rFonts w:ascii="仿宋" w:eastAsia="仿宋" w:hAnsi="仿宋" w:cs="Times New Roman"/>
          <w:sz w:val="32"/>
          <w:szCs w:val="32"/>
        </w:rPr>
        <w:t>需在</w:t>
      </w:r>
      <w:proofErr w:type="gramStart"/>
      <w:r w:rsidRPr="00BD69F8">
        <w:rPr>
          <w:rFonts w:ascii="仿宋" w:eastAsia="仿宋" w:hAnsi="仿宋" w:cs="Times New Roman"/>
          <w:sz w:val="32"/>
          <w:szCs w:val="32"/>
        </w:rPr>
        <w:t>交收日收盘</w:t>
      </w:r>
      <w:proofErr w:type="gramEnd"/>
      <w:r w:rsidRPr="00BD69F8">
        <w:rPr>
          <w:rFonts w:ascii="仿宋" w:eastAsia="仿宋" w:hAnsi="仿宋" w:cs="Times New Roman"/>
          <w:sz w:val="32"/>
          <w:szCs w:val="32"/>
        </w:rPr>
        <w:t>前准备足额的交</w:t>
      </w:r>
      <w:proofErr w:type="gramStart"/>
      <w:r w:rsidRPr="00BD69F8">
        <w:rPr>
          <w:rFonts w:ascii="仿宋" w:eastAsia="仿宋" w:hAnsi="仿宋" w:cs="Times New Roman"/>
          <w:sz w:val="32"/>
          <w:szCs w:val="32"/>
        </w:rPr>
        <w:t>收资金</w:t>
      </w:r>
      <w:proofErr w:type="gramEnd"/>
      <w:r w:rsidRPr="00BD69F8">
        <w:rPr>
          <w:rFonts w:ascii="仿宋" w:eastAsia="仿宋" w:hAnsi="仿宋" w:cs="Times New Roman"/>
          <w:sz w:val="32"/>
          <w:szCs w:val="32"/>
        </w:rPr>
        <w:t>或证券，如未及时备足，将造成交收违约并承担相应后果。</w:t>
      </w:r>
    </w:p>
    <w:p w:rsidR="00B51E4A" w:rsidRPr="00BD69F8" w:rsidRDefault="00AB2EAC" w:rsidP="00B51E4A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 wp14:anchorId="488DAB61" wp14:editId="7DF48F69">
            <wp:extent cx="5262880" cy="1616075"/>
            <wp:effectExtent l="0" t="0" r="0" b="3175"/>
            <wp:docPr id="7" name="图片 7" descr="C:\Users\xbai.oth\Pictures\1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bai.oth\Pictures\15-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D98" w:rsidRDefault="00F05D98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</w:p>
    <w:p w:rsidR="008375A0" w:rsidRPr="00F5542B" w:rsidRDefault="008375A0" w:rsidP="008375A0">
      <w:pPr>
        <w:keepNext/>
        <w:keepLines/>
        <w:numPr>
          <w:ilvl w:val="0"/>
          <w:numId w:val="2"/>
        </w:numPr>
        <w:spacing w:line="560" w:lineRule="exact"/>
        <w:ind w:left="0" w:firstLineChars="200" w:firstLine="643"/>
        <w:outlineLvl w:val="2"/>
        <w:rPr>
          <w:rFonts w:ascii="仿宋" w:eastAsia="仿宋" w:hAnsi="仿宋" w:cs="Times New Roman"/>
          <w:b/>
          <w:bCs/>
          <w:sz w:val="32"/>
          <w:szCs w:val="32"/>
        </w:rPr>
      </w:pPr>
      <w:bookmarkStart w:id="4" w:name="_Toc110968021"/>
      <w:r w:rsidRPr="00F5542B">
        <w:rPr>
          <w:rFonts w:ascii="仿宋" w:eastAsia="仿宋" w:hAnsi="仿宋" w:cs="Times New Roman"/>
          <w:b/>
          <w:bCs/>
          <w:sz w:val="32"/>
          <w:szCs w:val="32"/>
        </w:rPr>
        <w:t>如何查询结算单等交易信息？</w:t>
      </w:r>
      <w:bookmarkEnd w:id="4"/>
    </w:p>
    <w:p w:rsidR="008375A0" w:rsidRPr="00BD69F8" w:rsidRDefault="008375A0" w:rsidP="008375A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期权交易软件查询模块通常会提供历史结算单、历史行权指派等查询功能。</w:t>
      </w:r>
    </w:p>
    <w:p w:rsidR="008375A0" w:rsidRPr="00BD69F8" w:rsidRDefault="008375A0" w:rsidP="008375A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通过历史结算单，投资者可以查询特定时间资金、持仓的总体变动情况，亦可查询具体的成交明细和持仓记录。</w:t>
      </w:r>
    </w:p>
    <w:p w:rsidR="008375A0" w:rsidRPr="00BD69F8" w:rsidRDefault="008375A0" w:rsidP="008375A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9F8">
        <w:rPr>
          <w:rFonts w:ascii="仿宋" w:eastAsia="仿宋" w:hAnsi="仿宋" w:cs="Times New Roman"/>
          <w:sz w:val="32"/>
          <w:szCs w:val="32"/>
        </w:rPr>
        <w:t>通过历史行权指派、资金流水对账单等功能，投资者可以从多个维度查询自己的资金、持仓变动信息。</w:t>
      </w:r>
    </w:p>
    <w:p w:rsidR="008375A0" w:rsidRDefault="00AB2EAC" w:rsidP="008375A0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lastRenderedPageBreak/>
        <w:drawing>
          <wp:inline distT="0" distB="0" distL="0" distR="0" wp14:anchorId="0D4EE6B8" wp14:editId="26F5D692">
            <wp:extent cx="5262880" cy="3381375"/>
            <wp:effectExtent l="0" t="0" r="0" b="9525"/>
            <wp:docPr id="8" name="图片 8" descr="d:\Users\xbai.oth\Desktop\1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xbai.oth\Desktop\15-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5A0" w:rsidRPr="00BD69F8" w:rsidRDefault="008375A0" w:rsidP="008375A0">
      <w:pPr>
        <w:rPr>
          <w:rFonts w:ascii="仿宋" w:eastAsia="仿宋" w:hAnsi="仿宋" w:cs="Times New Roman"/>
          <w:sz w:val="32"/>
          <w:szCs w:val="32"/>
        </w:rPr>
      </w:pPr>
    </w:p>
    <w:p w:rsidR="00F05D98" w:rsidRDefault="00F05D98">
      <w:pPr>
        <w:spacing w:line="560" w:lineRule="exact"/>
        <w:rPr>
          <w:rFonts w:ascii="仿宋" w:eastAsia="仿宋" w:hAnsi="仿宋"/>
          <w:sz w:val="32"/>
        </w:rPr>
      </w:pPr>
    </w:p>
    <w:p w:rsidR="00F05D98" w:rsidRDefault="00995CCF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（“期权入市手册”系列文章支持单位：广发证券、国泰君安证券、华泰证券、嘉实基金、易方达基金、招商证券、中</w:t>
      </w:r>
      <w:proofErr w:type="gramStart"/>
      <w:r>
        <w:rPr>
          <w:rFonts w:ascii="仿宋" w:eastAsia="仿宋" w:hAnsi="仿宋" w:hint="eastAsia"/>
          <w:sz w:val="32"/>
        </w:rPr>
        <w:t>信建投证券</w:t>
      </w:r>
      <w:proofErr w:type="gramEnd"/>
      <w:r>
        <w:rPr>
          <w:rFonts w:ascii="仿宋" w:eastAsia="仿宋" w:hAnsi="仿宋" w:hint="eastAsia"/>
          <w:sz w:val="32"/>
        </w:rPr>
        <w:t>（按音序排列，排名不分先后））</w:t>
      </w:r>
    </w:p>
    <w:p w:rsidR="00F05D98" w:rsidRDefault="00F05D98">
      <w:pPr>
        <w:spacing w:line="560" w:lineRule="exact"/>
        <w:rPr>
          <w:rFonts w:ascii="仿宋" w:eastAsia="仿宋" w:hAnsi="仿宋"/>
          <w:sz w:val="32"/>
        </w:rPr>
      </w:pPr>
    </w:p>
    <w:p w:rsidR="00F05D98" w:rsidRDefault="00995CCF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免责声明：本文仅为投资者教育之目的而发布，不构成投资建议。投资者据此操作，风险自担。深圳证券交易所力求本文所涉信息准确可靠，但并不对其准确性、完整性和及时性做出任何保证，对因使用本文引发的损失不承担责任。）</w:t>
      </w:r>
      <w:r>
        <w:rPr>
          <w:rFonts w:ascii="仿宋" w:eastAsia="仿宋" w:hAnsi="仿宋" w:hint="eastAsia"/>
          <w:b/>
          <w:noProof/>
          <w:sz w:val="18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410970" cy="244475"/>
                <wp:effectExtent l="0" t="0" r="1778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05D98" w:rsidRDefault="00995CCF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内部使用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9pt;margin-top:0;width:111.1pt;height:19.25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" o:allowincell="f" strokecolor="red" strokeweight="1.5pt">
                <v:fill opacity="49087f"/>
                <v:textbox style="mso-fit-shape-to-text:t" inset="1mm,1mm,1mm,1mm">
                  <w:txbxContent>
                    <w:p w:rsidR="00F05D98" w:rsidRDefault="00995CCF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FF0000"/>
                          <w:szCs w:val="21"/>
                        </w:rPr>
                        <w:t>内部使用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F0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B1C1A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B9" w:rsidRDefault="00840DB9" w:rsidP="00DC3D76">
      <w:r>
        <w:separator/>
      </w:r>
    </w:p>
  </w:endnote>
  <w:endnote w:type="continuationSeparator" w:id="0">
    <w:p w:rsidR="00840DB9" w:rsidRDefault="00840DB9" w:rsidP="00DC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B9" w:rsidRDefault="00840DB9" w:rsidP="00DC3D76">
      <w:r>
        <w:separator/>
      </w:r>
    </w:p>
  </w:footnote>
  <w:footnote w:type="continuationSeparator" w:id="0">
    <w:p w:rsidR="00840DB9" w:rsidRDefault="00840DB9" w:rsidP="00DC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21F"/>
    <w:multiLevelType w:val="multilevel"/>
    <w:tmpl w:val="01B4721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8E21F1"/>
    <w:multiLevelType w:val="hybridMultilevel"/>
    <w:tmpl w:val="7AFA42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B5799F"/>
    <w:multiLevelType w:val="hybridMultilevel"/>
    <w:tmpl w:val="7AFA42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嘉琦">
    <w15:presenceInfo w15:providerId="None" w15:userId="张嘉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F"/>
    <w:rsid w:val="00024E42"/>
    <w:rsid w:val="00045881"/>
    <w:rsid w:val="00073B27"/>
    <w:rsid w:val="000850D4"/>
    <w:rsid w:val="000E658A"/>
    <w:rsid w:val="00146DC5"/>
    <w:rsid w:val="00200EE3"/>
    <w:rsid w:val="0020392E"/>
    <w:rsid w:val="00254873"/>
    <w:rsid w:val="00273878"/>
    <w:rsid w:val="002970D4"/>
    <w:rsid w:val="002B4453"/>
    <w:rsid w:val="002B669E"/>
    <w:rsid w:val="0032412C"/>
    <w:rsid w:val="003307EE"/>
    <w:rsid w:val="003A5C02"/>
    <w:rsid w:val="003B3D62"/>
    <w:rsid w:val="003E1D15"/>
    <w:rsid w:val="004352D8"/>
    <w:rsid w:val="00485D85"/>
    <w:rsid w:val="004A65EE"/>
    <w:rsid w:val="00575795"/>
    <w:rsid w:val="00590C44"/>
    <w:rsid w:val="005A5EA9"/>
    <w:rsid w:val="00603685"/>
    <w:rsid w:val="006D73C9"/>
    <w:rsid w:val="00764E15"/>
    <w:rsid w:val="007F1C7C"/>
    <w:rsid w:val="00827545"/>
    <w:rsid w:val="008375A0"/>
    <w:rsid w:val="00840DB9"/>
    <w:rsid w:val="00872572"/>
    <w:rsid w:val="008E064B"/>
    <w:rsid w:val="00922D35"/>
    <w:rsid w:val="00924E1A"/>
    <w:rsid w:val="00995CCF"/>
    <w:rsid w:val="009F73DD"/>
    <w:rsid w:val="00A12A83"/>
    <w:rsid w:val="00AB2EAC"/>
    <w:rsid w:val="00AB4FF2"/>
    <w:rsid w:val="00B44386"/>
    <w:rsid w:val="00B46E54"/>
    <w:rsid w:val="00B47BC0"/>
    <w:rsid w:val="00B51E4A"/>
    <w:rsid w:val="00BE7BD7"/>
    <w:rsid w:val="00BF607F"/>
    <w:rsid w:val="00C16D94"/>
    <w:rsid w:val="00CD5C62"/>
    <w:rsid w:val="00CF24AA"/>
    <w:rsid w:val="00D41A29"/>
    <w:rsid w:val="00D61301"/>
    <w:rsid w:val="00D801F4"/>
    <w:rsid w:val="00DC3D76"/>
    <w:rsid w:val="00E04C3C"/>
    <w:rsid w:val="00E732B5"/>
    <w:rsid w:val="00EC7ADB"/>
    <w:rsid w:val="00EF0751"/>
    <w:rsid w:val="00EF72FB"/>
    <w:rsid w:val="00F05D98"/>
    <w:rsid w:val="00F25026"/>
    <w:rsid w:val="00F26F8B"/>
    <w:rsid w:val="00FC7F84"/>
    <w:rsid w:val="00FD2CDF"/>
    <w:rsid w:val="01D8609C"/>
    <w:rsid w:val="201B7EE2"/>
    <w:rsid w:val="48B82223"/>
    <w:rsid w:val="686C4009"/>
    <w:rsid w:val="6BB700EA"/>
    <w:rsid w:val="6F5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1">
    <w:name w:val="批注主题 Char"/>
    <w:basedOn w:val="Char"/>
    <w:link w:val="a6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header"/>
    <w:basedOn w:val="a"/>
    <w:link w:val="Char2"/>
    <w:uiPriority w:val="99"/>
    <w:unhideWhenUsed/>
    <w:rsid w:val="00DC3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DC3D76"/>
    <w:rPr>
      <w:kern w:val="2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DC3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DC3D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0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exact"/>
      <w:outlineLvl w:val="2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" w:hAnsi="仿宋"/>
      <w:b/>
      <w:bCs/>
      <w:kern w:val="2"/>
      <w:sz w:val="32"/>
      <w:szCs w:val="32"/>
    </w:r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1">
    <w:name w:val="批注主题 Char"/>
    <w:basedOn w:val="Char"/>
    <w:link w:val="a6"/>
    <w:uiPriority w:val="99"/>
    <w:semiHidden/>
    <w:qFormat/>
    <w:rPr>
      <w:b/>
      <w:bCs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header"/>
    <w:basedOn w:val="a"/>
    <w:link w:val="Char2"/>
    <w:uiPriority w:val="99"/>
    <w:unhideWhenUsed/>
    <w:rsid w:val="00DC3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DC3D76"/>
    <w:rPr>
      <w:kern w:val="2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DC3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DC3D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3F759C-8F6E-4A19-81BF-E54F76BA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</dc:creator>
  <cp:lastModifiedBy>陈洁</cp:lastModifiedBy>
  <cp:revision>6</cp:revision>
  <dcterms:created xsi:type="dcterms:W3CDTF">2022-11-11T05:55:00Z</dcterms:created>
  <dcterms:modified xsi:type="dcterms:W3CDTF">2022-11-16T09:22:00Z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C8F2276712B449C58C5180BCD0267F96</vt:lpwstr>
  </property>
</Properties>
</file>