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6D0526C0"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74490B">
        <w:rPr>
          <w:rFonts w:ascii="楷体" w:eastAsia="楷体" w:hAnsi="楷体" w:cs="楷体_GB2312" w:hint="eastAsia"/>
          <w:b/>
          <w:bCs/>
          <w:color w:val="008080"/>
          <w:sz w:val="44"/>
          <w:szCs w:val="44"/>
        </w:rPr>
        <w:t>9</w:t>
      </w:r>
      <w:r w:rsidR="00065135">
        <w:rPr>
          <w:rFonts w:ascii="楷体" w:eastAsia="楷体" w:hAnsi="楷体" w:cs="楷体_GB2312" w:hint="eastAsia"/>
          <w:b/>
          <w:bCs/>
          <w:color w:val="008080"/>
          <w:sz w:val="44"/>
          <w:szCs w:val="44"/>
        </w:rPr>
        <w:t>24</w:t>
      </w:r>
      <w:r w:rsidRPr="002C0A4F">
        <w:rPr>
          <w:rFonts w:ascii="楷体" w:eastAsia="楷体" w:hAnsi="楷体" w:cs="楷体_GB2312" w:hint="eastAsia"/>
          <w:b/>
          <w:bCs/>
          <w:color w:val="008080"/>
          <w:sz w:val="44"/>
          <w:szCs w:val="44"/>
        </w:rPr>
        <w:t>-180</w:t>
      </w:r>
      <w:r w:rsidR="0074490B">
        <w:rPr>
          <w:rFonts w:ascii="楷体" w:eastAsia="楷体" w:hAnsi="楷体" w:cs="楷体_GB2312" w:hint="eastAsia"/>
          <w:b/>
          <w:bCs/>
          <w:color w:val="008080"/>
          <w:sz w:val="44"/>
          <w:szCs w:val="44"/>
        </w:rPr>
        <w:t>9</w:t>
      </w:r>
      <w:r w:rsidR="00824A71">
        <w:rPr>
          <w:rFonts w:ascii="楷体" w:eastAsia="楷体" w:hAnsi="楷体" w:cs="楷体_GB2312" w:hint="eastAsia"/>
          <w:b/>
          <w:bCs/>
          <w:color w:val="008080"/>
          <w:sz w:val="44"/>
          <w:szCs w:val="44"/>
        </w:rPr>
        <w:t>2</w:t>
      </w:r>
      <w:r w:rsidR="00065135">
        <w:rPr>
          <w:rFonts w:ascii="楷体" w:eastAsia="楷体" w:hAnsi="楷体" w:cs="楷体_GB2312" w:hint="eastAsia"/>
          <w:b/>
          <w:bCs/>
          <w:color w:val="008080"/>
          <w:sz w:val="44"/>
          <w:szCs w:val="44"/>
        </w:rPr>
        <w:t>8</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36B289F0">
                <wp:simplePos x="0" y="0"/>
                <wp:positionH relativeFrom="column">
                  <wp:posOffset>-628015</wp:posOffset>
                </wp:positionH>
                <wp:positionV relativeFrom="paragraph">
                  <wp:posOffset>17780</wp:posOffset>
                </wp:positionV>
                <wp:extent cx="6981825"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5263BA" w:rsidRDefault="005263B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5263BA" w:rsidRDefault="005263B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5BA704F8" w14:textId="3B112B1B" w:rsidR="00900334" w:rsidRDefault="00900334" w:rsidP="00900334">
                            <w:pPr>
                              <w:spacing w:line="400" w:lineRule="exact"/>
                              <w:ind w:firstLineChars="200" w:firstLine="480"/>
                              <w:rPr>
                                <w:rFonts w:ascii="楷体_GB2312" w:eastAsia="楷体_GB2312" w:hint="eastAsia"/>
                                <w:sz w:val="24"/>
                                <w:szCs w:val="24"/>
                              </w:rPr>
                            </w:pPr>
                            <w:r>
                              <w:rPr>
                                <w:rFonts w:ascii="楷体_GB2312" w:eastAsia="楷体_GB2312" w:hint="eastAsia"/>
                                <w:sz w:val="24"/>
                                <w:szCs w:val="24"/>
                              </w:rPr>
                              <w:t>基本面上，</w:t>
                            </w:r>
                            <w:r w:rsidRPr="00761B35">
                              <w:rPr>
                                <w:rFonts w:ascii="楷体_GB2312" w:eastAsia="楷体_GB2312" w:hint="eastAsia"/>
                                <w:sz w:val="24"/>
                                <w:szCs w:val="24"/>
                              </w:rPr>
                              <w:t>长假期间</w:t>
                            </w:r>
                            <w:proofErr w:type="gramStart"/>
                            <w:r w:rsidRPr="00761B35">
                              <w:rPr>
                                <w:rFonts w:ascii="楷体_GB2312" w:eastAsia="楷体_GB2312" w:hint="eastAsia"/>
                                <w:sz w:val="24"/>
                                <w:szCs w:val="24"/>
                              </w:rPr>
                              <w:t>美豆并</w:t>
                            </w:r>
                            <w:proofErr w:type="gramEnd"/>
                            <w:r w:rsidRPr="00761B35">
                              <w:rPr>
                                <w:rFonts w:ascii="楷体_GB2312" w:eastAsia="楷体_GB2312" w:hint="eastAsia"/>
                                <w:sz w:val="24"/>
                                <w:szCs w:val="24"/>
                              </w:rPr>
                              <w:t>无实质性利好出现。中国外交部宣布美国国务卿将于10月8日访华，双方将就中美关系及共同关心的国际和地区问题交换意见，可能会推动重</w:t>
                            </w:r>
                            <w:proofErr w:type="gramStart"/>
                            <w:r w:rsidRPr="00761B35">
                              <w:rPr>
                                <w:rFonts w:ascii="楷体_GB2312" w:eastAsia="楷体_GB2312" w:hint="eastAsia"/>
                                <w:sz w:val="24"/>
                                <w:szCs w:val="24"/>
                              </w:rPr>
                              <w:t>启贸易</w:t>
                            </w:r>
                            <w:proofErr w:type="gramEnd"/>
                            <w:r w:rsidRPr="00761B35">
                              <w:rPr>
                                <w:rFonts w:ascii="楷体_GB2312" w:eastAsia="楷体_GB2312" w:hint="eastAsia"/>
                                <w:sz w:val="24"/>
                                <w:szCs w:val="24"/>
                              </w:rPr>
                              <w:t>谈判。综合来看，</w:t>
                            </w:r>
                            <w:proofErr w:type="gramStart"/>
                            <w:r w:rsidRPr="00761B35">
                              <w:rPr>
                                <w:rFonts w:ascii="楷体_GB2312" w:eastAsia="楷体_GB2312" w:hint="eastAsia"/>
                                <w:sz w:val="24"/>
                                <w:szCs w:val="24"/>
                              </w:rPr>
                              <w:t>美豆不</w:t>
                            </w:r>
                            <w:proofErr w:type="gramEnd"/>
                            <w:r w:rsidRPr="00761B35">
                              <w:rPr>
                                <w:rFonts w:ascii="楷体_GB2312" w:eastAsia="楷体_GB2312" w:hint="eastAsia"/>
                                <w:sz w:val="24"/>
                                <w:szCs w:val="24"/>
                              </w:rPr>
                              <w:t>具备持续上涨动力，近期出口销售虽有所增加，但不足以消化中国买家撤出后的巨大结余。在贸易战持续的背景下，</w:t>
                            </w:r>
                            <w:proofErr w:type="gramStart"/>
                            <w:r w:rsidRPr="00761B35">
                              <w:rPr>
                                <w:rFonts w:ascii="楷体_GB2312" w:eastAsia="楷体_GB2312" w:hint="eastAsia"/>
                                <w:sz w:val="24"/>
                                <w:szCs w:val="24"/>
                              </w:rPr>
                              <w:t>美豆和</w:t>
                            </w:r>
                            <w:proofErr w:type="gramEnd"/>
                            <w:r w:rsidRPr="00761B35">
                              <w:rPr>
                                <w:rFonts w:ascii="楷体_GB2312" w:eastAsia="楷体_GB2312" w:hint="eastAsia"/>
                                <w:sz w:val="24"/>
                                <w:szCs w:val="24"/>
                              </w:rPr>
                              <w:t>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的走势无明显相关性，对于国内市场而言，基本上是对于</w:t>
                            </w:r>
                            <w:proofErr w:type="gramStart"/>
                            <w:r w:rsidRPr="00761B35">
                              <w:rPr>
                                <w:rFonts w:ascii="楷体_GB2312" w:eastAsia="楷体_GB2312" w:hint="eastAsia"/>
                                <w:sz w:val="24"/>
                                <w:szCs w:val="24"/>
                              </w:rPr>
                              <w:t>未来缺豆的</w:t>
                            </w:r>
                            <w:proofErr w:type="gramEnd"/>
                            <w:r w:rsidRPr="00761B35">
                              <w:rPr>
                                <w:rFonts w:ascii="楷体_GB2312" w:eastAsia="楷体_GB2312" w:hint="eastAsia"/>
                                <w:sz w:val="24"/>
                                <w:szCs w:val="24"/>
                              </w:rPr>
                              <w:t>一致预期，</w:t>
                            </w:r>
                            <w:proofErr w:type="gramStart"/>
                            <w:r w:rsidRPr="00761B35">
                              <w:rPr>
                                <w:rFonts w:ascii="楷体_GB2312" w:eastAsia="楷体_GB2312" w:hint="eastAsia"/>
                                <w:sz w:val="24"/>
                                <w:szCs w:val="24"/>
                              </w:rPr>
                              <w:t>若政策</w:t>
                            </w:r>
                            <w:proofErr w:type="gramEnd"/>
                            <w:r w:rsidRPr="00761B35">
                              <w:rPr>
                                <w:rFonts w:ascii="楷体_GB2312" w:eastAsia="楷体_GB2312" w:hint="eastAsia"/>
                                <w:sz w:val="24"/>
                                <w:szCs w:val="24"/>
                              </w:rPr>
                              <w:t>面出现缓解迹象，连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将出现大幅波动，在政策面无明显异动的情况下，连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将继续强势表现</w:t>
                            </w:r>
                            <w:r>
                              <w:rPr>
                                <w:rFonts w:ascii="楷体_GB2312" w:eastAsia="楷体_GB2312" w:hint="eastAsia"/>
                                <w:sz w:val="24"/>
                                <w:szCs w:val="24"/>
                              </w:rPr>
                              <w:t>。</w:t>
                            </w:r>
                          </w:p>
                          <w:p w14:paraId="31768DAA" w14:textId="77777777" w:rsidR="00900334" w:rsidRPr="00011C2C" w:rsidRDefault="00900334" w:rsidP="00900334">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Pr>
                                <w:rFonts w:ascii="楷体_GB2312" w:eastAsia="楷体_GB2312" w:hint="eastAsia"/>
                                <w:sz w:val="24"/>
                                <w:szCs w:val="24"/>
                              </w:rPr>
                              <w:t>，</w:t>
                            </w:r>
                            <w:r w:rsidRPr="00011C2C">
                              <w:rPr>
                                <w:rFonts w:ascii="楷体_GB2312" w:eastAsia="楷体_GB2312" w:hint="eastAsia"/>
                                <w:sz w:val="24"/>
                                <w:szCs w:val="24"/>
                              </w:rPr>
                              <w:t>截至2018年9月</w:t>
                            </w:r>
                            <w:r>
                              <w:rPr>
                                <w:rFonts w:ascii="楷体_GB2312" w:eastAsia="楷体_GB2312" w:hint="eastAsia"/>
                                <w:sz w:val="24"/>
                                <w:szCs w:val="24"/>
                              </w:rPr>
                              <w:t>28</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w:t>
                            </w:r>
                            <w:r>
                              <w:rPr>
                                <w:rFonts w:ascii="楷体_GB2312" w:eastAsia="楷体_GB2312" w:hint="eastAsia"/>
                                <w:sz w:val="24"/>
                                <w:szCs w:val="24"/>
                              </w:rPr>
                              <w:t>51.91</w:t>
                            </w:r>
                            <w:r w:rsidRPr="00011C2C">
                              <w:rPr>
                                <w:rFonts w:ascii="楷体_GB2312" w:eastAsia="楷体_GB2312" w:hint="eastAsia"/>
                                <w:sz w:val="24"/>
                                <w:szCs w:val="24"/>
                              </w:rPr>
                              <w:t>万张</w:t>
                            </w:r>
                            <w:r>
                              <w:rPr>
                                <w:rFonts w:ascii="楷体_GB2312" w:eastAsia="楷体_GB2312" w:hint="eastAsia"/>
                                <w:sz w:val="24"/>
                                <w:szCs w:val="24"/>
                              </w:rPr>
                              <w:t>，</w:t>
                            </w:r>
                            <w:r w:rsidRPr="00011C2C">
                              <w:rPr>
                                <w:rFonts w:ascii="楷体_GB2312" w:eastAsia="楷体_GB2312" w:hint="eastAsia"/>
                                <w:sz w:val="24"/>
                                <w:szCs w:val="24"/>
                              </w:rPr>
                              <w:t>总成交量较上周</w:t>
                            </w:r>
                            <w:r>
                              <w:rPr>
                                <w:rFonts w:ascii="楷体_GB2312" w:eastAsia="楷体_GB2312" w:hint="eastAsia"/>
                                <w:sz w:val="24"/>
                                <w:szCs w:val="24"/>
                              </w:rPr>
                              <w:t>大幅上升72%</w:t>
                            </w:r>
                            <w:r w:rsidRPr="00011C2C">
                              <w:rPr>
                                <w:rFonts w:ascii="楷体_GB2312" w:eastAsia="楷体_GB2312" w:hint="eastAsia"/>
                                <w:sz w:val="24"/>
                                <w:szCs w:val="24"/>
                              </w:rPr>
                              <w:t>，平均日成交量</w:t>
                            </w:r>
                            <w:r>
                              <w:rPr>
                                <w:rFonts w:ascii="楷体_GB2312" w:eastAsia="楷体_GB2312" w:hint="eastAsia"/>
                                <w:sz w:val="24"/>
                                <w:szCs w:val="24"/>
                              </w:rPr>
                              <w:t>17</w:t>
                            </w:r>
                            <w:r w:rsidRPr="00011C2C">
                              <w:rPr>
                                <w:rFonts w:ascii="楷体_GB2312" w:eastAsia="楷体_GB2312" w:hint="eastAsia"/>
                                <w:sz w:val="24"/>
                                <w:szCs w:val="24"/>
                              </w:rPr>
                              <w:t>万张</w:t>
                            </w:r>
                            <w:r>
                              <w:rPr>
                                <w:rFonts w:ascii="楷体_GB2312" w:eastAsia="楷体_GB2312" w:hint="eastAsia"/>
                                <w:sz w:val="24"/>
                                <w:szCs w:val="24"/>
                              </w:rPr>
                              <w:t>（双边）</w:t>
                            </w:r>
                            <w:r w:rsidRPr="00011C2C">
                              <w:rPr>
                                <w:rFonts w:ascii="楷体_GB2312" w:eastAsia="楷体_GB2312" w:hint="eastAsia"/>
                                <w:sz w:val="24"/>
                                <w:szCs w:val="24"/>
                              </w:rPr>
                              <w:t>。目前市场支撑位和压力位</w:t>
                            </w:r>
                            <w:r>
                              <w:rPr>
                                <w:rFonts w:ascii="楷体_GB2312" w:eastAsia="楷体_GB2312" w:hint="eastAsia"/>
                                <w:sz w:val="24"/>
                                <w:szCs w:val="24"/>
                              </w:rPr>
                              <w:t>重心有所上升</w:t>
                            </w:r>
                            <w:r w:rsidRPr="00011C2C">
                              <w:rPr>
                                <w:rFonts w:ascii="楷体_GB2312" w:eastAsia="楷体_GB2312" w:hint="eastAsia"/>
                                <w:sz w:val="24"/>
                                <w:szCs w:val="24"/>
                              </w:rPr>
                              <w:t>。豆</w:t>
                            </w:r>
                            <w:proofErr w:type="gramStart"/>
                            <w:r w:rsidRPr="00011C2C">
                              <w:rPr>
                                <w:rFonts w:ascii="楷体_GB2312" w:eastAsia="楷体_GB2312" w:hint="eastAsia"/>
                                <w:sz w:val="24"/>
                                <w:szCs w:val="24"/>
                              </w:rPr>
                              <w:t>粕</w:t>
                            </w:r>
                            <w:proofErr w:type="gramEnd"/>
                            <w:r w:rsidRPr="00011C2C">
                              <w:rPr>
                                <w:rFonts w:ascii="楷体_GB2312" w:eastAsia="楷体_GB2312" w:hint="eastAsia"/>
                                <w:sz w:val="24"/>
                                <w:szCs w:val="24"/>
                              </w:rPr>
                              <w:t>合约</w:t>
                            </w:r>
                            <w:proofErr w:type="gramStart"/>
                            <w:r w:rsidRPr="00011C2C">
                              <w:rPr>
                                <w:rFonts w:ascii="楷体_GB2312" w:eastAsia="楷体_GB2312" w:hint="eastAsia"/>
                                <w:sz w:val="24"/>
                                <w:szCs w:val="24"/>
                              </w:rPr>
                              <w:t>期权总</w:t>
                            </w:r>
                            <w:proofErr w:type="gramEnd"/>
                            <w:r w:rsidRPr="00011C2C">
                              <w:rPr>
                                <w:rFonts w:ascii="楷体_GB2312" w:eastAsia="楷体_GB2312" w:hint="eastAsia"/>
                                <w:sz w:val="24"/>
                                <w:szCs w:val="24"/>
                              </w:rPr>
                              <w:t>持仓量PCR较上周</w:t>
                            </w:r>
                            <w:r>
                              <w:rPr>
                                <w:rFonts w:ascii="楷体_GB2312" w:eastAsia="楷体_GB2312" w:hint="eastAsia"/>
                                <w:sz w:val="24"/>
                                <w:szCs w:val="24"/>
                              </w:rPr>
                              <w:t>呈上升趋势</w:t>
                            </w:r>
                            <w:r w:rsidRPr="00011C2C">
                              <w:rPr>
                                <w:rFonts w:ascii="楷体_GB2312" w:eastAsia="楷体_GB2312" w:hint="eastAsia"/>
                                <w:sz w:val="24"/>
                                <w:szCs w:val="24"/>
                              </w:rPr>
                              <w:t>，平均</w:t>
                            </w:r>
                            <w:r>
                              <w:rPr>
                                <w:rFonts w:ascii="楷体_GB2312" w:eastAsia="楷体_GB2312" w:hint="eastAsia"/>
                                <w:sz w:val="24"/>
                                <w:szCs w:val="24"/>
                              </w:rPr>
                              <w:t>1.14，上升6.54%</w:t>
                            </w:r>
                            <w:r w:rsidRPr="00011C2C">
                              <w:rPr>
                                <w:rFonts w:ascii="楷体_GB2312" w:eastAsia="楷体_GB2312" w:hint="eastAsia"/>
                                <w:sz w:val="24"/>
                                <w:szCs w:val="24"/>
                              </w:rPr>
                              <w:t>。从整体</w:t>
                            </w:r>
                            <w:r>
                              <w:rPr>
                                <w:rFonts w:ascii="楷体_GB2312" w:eastAsia="楷体_GB2312" w:hint="eastAsia"/>
                                <w:sz w:val="24"/>
                                <w:szCs w:val="24"/>
                              </w:rPr>
                              <w:t>来</w:t>
                            </w:r>
                            <w:r w:rsidRPr="00011C2C">
                              <w:rPr>
                                <w:rFonts w:ascii="楷体_GB2312" w:eastAsia="楷体_GB2312" w:hint="eastAsia"/>
                                <w:sz w:val="24"/>
                                <w:szCs w:val="24"/>
                              </w:rPr>
                              <w:t>看</w:t>
                            </w:r>
                            <w:r>
                              <w:rPr>
                                <w:rFonts w:ascii="楷体_GB2312" w:eastAsia="楷体_GB2312" w:hint="eastAsia"/>
                                <w:sz w:val="24"/>
                                <w:szCs w:val="24"/>
                              </w:rPr>
                              <w:t>，</w:t>
                            </w:r>
                            <w:r w:rsidRPr="00011C2C">
                              <w:rPr>
                                <w:rFonts w:ascii="楷体_GB2312" w:eastAsia="楷体_GB2312" w:hint="eastAsia"/>
                                <w:sz w:val="24"/>
                                <w:szCs w:val="24"/>
                              </w:rPr>
                              <w:t>目前市场投资者情绪</w:t>
                            </w:r>
                            <w:r>
                              <w:rPr>
                                <w:rFonts w:ascii="楷体_GB2312" w:eastAsia="楷体_GB2312" w:hint="eastAsia"/>
                                <w:sz w:val="24"/>
                                <w:szCs w:val="24"/>
                              </w:rPr>
                              <w:t>偏乐观</w:t>
                            </w:r>
                            <w:r w:rsidRPr="00011C2C">
                              <w:rPr>
                                <w:rFonts w:ascii="楷体_GB2312" w:eastAsia="楷体_GB2312" w:hint="eastAsia"/>
                                <w:sz w:val="24"/>
                                <w:szCs w:val="24"/>
                              </w:rPr>
                              <w:t>。</w:t>
                            </w:r>
                          </w:p>
                          <w:p w14:paraId="2C2577FE" w14:textId="77777777" w:rsidR="00900334" w:rsidRPr="003771C1" w:rsidRDefault="00900334" w:rsidP="00900334">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w:t>
                            </w:r>
                            <w:r>
                              <w:rPr>
                                <w:rFonts w:ascii="楷体_GB2312" w:eastAsia="楷体_GB2312" w:hint="eastAsia"/>
                                <w:sz w:val="24"/>
                                <w:szCs w:val="24"/>
                              </w:rPr>
                              <w:t>在周五受假期影响大幅上升，9月28日</w:t>
                            </w:r>
                            <w:proofErr w:type="gramStart"/>
                            <w:r>
                              <w:rPr>
                                <w:rFonts w:ascii="楷体_GB2312" w:eastAsia="楷体_GB2312" w:hint="eastAsia"/>
                                <w:sz w:val="24"/>
                                <w:szCs w:val="24"/>
                              </w:rPr>
                              <w:t>周五</w:t>
                            </w:r>
                            <w:r w:rsidRPr="00A96A91">
                              <w:rPr>
                                <w:rFonts w:ascii="楷体_GB2312" w:eastAsia="楷体_GB2312" w:hint="eastAsia"/>
                                <w:sz w:val="24"/>
                                <w:szCs w:val="24"/>
                              </w:rPr>
                              <w:t>平</w:t>
                            </w:r>
                            <w:proofErr w:type="gramEnd"/>
                            <w:r w:rsidRPr="00A96A91">
                              <w:rPr>
                                <w:rFonts w:ascii="楷体_GB2312" w:eastAsia="楷体_GB2312" w:hint="eastAsia"/>
                                <w:sz w:val="24"/>
                                <w:szCs w:val="24"/>
                              </w:rPr>
                              <w:t>值期权的隐含波动率为</w:t>
                            </w:r>
                            <w:r>
                              <w:rPr>
                                <w:rFonts w:ascii="楷体_GB2312" w:eastAsia="楷体_GB2312" w:hint="eastAsia"/>
                                <w:sz w:val="24"/>
                                <w:szCs w:val="24"/>
                              </w:rPr>
                              <w:t>21.70</w:t>
                            </w:r>
                            <w:r w:rsidRPr="00A96A91">
                              <w:rPr>
                                <w:rFonts w:ascii="楷体_GB2312" w:eastAsia="楷体_GB2312" w:hint="eastAsia"/>
                                <w:sz w:val="24"/>
                                <w:szCs w:val="24"/>
                              </w:rPr>
                              <w:t>%</w:t>
                            </w:r>
                            <w:r>
                              <w:rPr>
                                <w:rFonts w:ascii="楷体_GB2312" w:eastAsia="楷体_GB2312" w:hint="eastAsia"/>
                                <w:sz w:val="24"/>
                                <w:szCs w:val="24"/>
                              </w:rPr>
                              <w:t>；而</w:t>
                            </w:r>
                            <w:r w:rsidRPr="00A96A91">
                              <w:rPr>
                                <w:rFonts w:ascii="楷体_GB2312" w:eastAsia="楷体_GB2312" w:hint="eastAsia"/>
                                <w:sz w:val="24"/>
                                <w:szCs w:val="24"/>
                              </w:rPr>
                              <w:t>30日历史波动率为</w:t>
                            </w:r>
                            <w:r>
                              <w:rPr>
                                <w:rFonts w:ascii="楷体_GB2312" w:eastAsia="楷体_GB2312" w:hint="eastAsia"/>
                                <w:sz w:val="24"/>
                                <w:szCs w:val="24"/>
                              </w:rPr>
                              <w:t>19.08</w:t>
                            </w:r>
                            <w:r w:rsidRPr="00A96A91">
                              <w:rPr>
                                <w:rFonts w:ascii="楷体_GB2312" w:eastAsia="楷体_GB2312" w:hint="eastAsia"/>
                                <w:sz w:val="24"/>
                                <w:szCs w:val="24"/>
                              </w:rPr>
                              <w:t>%。</w:t>
                            </w:r>
                            <w:r>
                              <w:rPr>
                                <w:rFonts w:ascii="楷体_GB2312" w:eastAsia="楷体_GB2312" w:hint="eastAsia"/>
                                <w:sz w:val="24"/>
                                <w:szCs w:val="24"/>
                              </w:rPr>
                              <w:t>历史波动率重心有所下移，隐含</w:t>
                            </w:r>
                            <w:proofErr w:type="gramStart"/>
                            <w:r>
                              <w:rPr>
                                <w:rFonts w:ascii="楷体_GB2312" w:eastAsia="楷体_GB2312" w:hint="eastAsia"/>
                                <w:sz w:val="24"/>
                                <w:szCs w:val="24"/>
                              </w:rPr>
                              <w:t>波动率受国庆</w:t>
                            </w:r>
                            <w:proofErr w:type="gramEnd"/>
                            <w:r>
                              <w:rPr>
                                <w:rFonts w:ascii="楷体_GB2312" w:eastAsia="楷体_GB2312" w:hint="eastAsia"/>
                                <w:sz w:val="24"/>
                                <w:szCs w:val="24"/>
                              </w:rPr>
                              <w:t>假期影响表现出正常的上涨，预计节后隐含波动率先上升后回落的概率较大</w:t>
                            </w:r>
                            <w:r w:rsidRPr="00A96A91">
                              <w:rPr>
                                <w:rFonts w:ascii="楷体_GB2312" w:eastAsia="楷体_GB2312" w:hint="eastAsia"/>
                                <w:sz w:val="24"/>
                                <w:szCs w:val="24"/>
                              </w:rPr>
                              <w:t>。</w:t>
                            </w: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分布图来看，9月28日</w:t>
                            </w:r>
                            <w:r w:rsidRPr="001B1802">
                              <w:rPr>
                                <w:rFonts w:ascii="楷体_GB2312" w:eastAsia="楷体_GB2312" w:hint="eastAsia"/>
                                <w:sz w:val="24"/>
                                <w:szCs w:val="24"/>
                              </w:rPr>
                              <w:t>大商所豆</w:t>
                            </w:r>
                            <w:proofErr w:type="gramStart"/>
                            <w:r w:rsidRPr="001B1802">
                              <w:rPr>
                                <w:rFonts w:ascii="楷体_GB2312" w:eastAsia="楷体_GB2312" w:hint="eastAsia"/>
                                <w:sz w:val="24"/>
                                <w:szCs w:val="24"/>
                              </w:rPr>
                              <w:t>粕</w:t>
                            </w:r>
                            <w:proofErr w:type="gramEnd"/>
                            <w:r>
                              <w:rPr>
                                <w:rFonts w:ascii="楷体_GB2312" w:eastAsia="楷体_GB2312" w:hint="eastAsia"/>
                                <w:sz w:val="24"/>
                                <w:szCs w:val="24"/>
                              </w:rPr>
                              <w:t>5日历史</w:t>
                            </w:r>
                            <w:proofErr w:type="gramStart"/>
                            <w:r>
                              <w:rPr>
                                <w:rFonts w:ascii="楷体_GB2312" w:eastAsia="楷体_GB2312" w:hint="eastAsia"/>
                                <w:sz w:val="24"/>
                                <w:szCs w:val="24"/>
                              </w:rPr>
                              <w:t>波动率重回</w:t>
                            </w:r>
                            <w:proofErr w:type="gramEnd"/>
                            <w:r>
                              <w:rPr>
                                <w:rFonts w:ascii="楷体_GB2312" w:eastAsia="楷体_GB2312" w:hint="eastAsia"/>
                                <w:sz w:val="24"/>
                                <w:szCs w:val="24"/>
                              </w:rPr>
                              <w:t>中分位附近，而10日、20日历史波动率仍在中分位以下，较上周有所下降。预计近期豆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历史波动率将呈现震荡趋势。</w:t>
                            </w:r>
                          </w:p>
                          <w:p w14:paraId="34791ED2" w14:textId="05BF6E47" w:rsidR="00900334" w:rsidRDefault="00900334" w:rsidP="00900334">
                            <w:pPr>
                              <w:spacing w:line="400" w:lineRule="exact"/>
                              <w:ind w:firstLineChars="200" w:firstLine="480"/>
                              <w:rPr>
                                <w:rFonts w:ascii="楷体_GB2312" w:eastAsia="楷体_GB2312"/>
                                <w:sz w:val="24"/>
                                <w:szCs w:val="24"/>
                              </w:rPr>
                            </w:pPr>
                            <w:r>
                              <w:rPr>
                                <w:rFonts w:ascii="楷体_GB2312" w:eastAsia="楷体_GB2312" w:hint="eastAsia"/>
                                <w:sz w:val="24"/>
                                <w:szCs w:val="24"/>
                              </w:rPr>
                              <w:t>策略上，</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sidRPr="00761B35">
                              <w:rPr>
                                <w:rFonts w:ascii="楷体_GB2312" w:eastAsia="楷体_GB2312" w:hint="eastAsia"/>
                                <w:sz w:val="24"/>
                                <w:szCs w:val="24"/>
                              </w:rPr>
                              <w:t>在贸易战持续的背景下，</w:t>
                            </w:r>
                            <w:r>
                              <w:rPr>
                                <w:rFonts w:ascii="楷体_GB2312" w:eastAsia="楷体_GB2312" w:hint="eastAsia"/>
                                <w:sz w:val="24"/>
                                <w:szCs w:val="24"/>
                              </w:rPr>
                              <w:t>波动率明显上升，短期来看偏强</w:t>
                            </w:r>
                            <w:r w:rsidRPr="00D76592">
                              <w:rPr>
                                <w:rFonts w:ascii="楷体_GB2312" w:eastAsia="楷体_GB2312" w:hint="eastAsia"/>
                                <w:sz w:val="24"/>
                                <w:szCs w:val="24"/>
                              </w:rPr>
                              <w:t>，</w:t>
                            </w:r>
                            <w:r>
                              <w:rPr>
                                <w:rFonts w:ascii="楷体_GB2312" w:eastAsia="楷体_GB2312" w:hint="eastAsia"/>
                                <w:sz w:val="24"/>
                                <w:szCs w:val="24"/>
                              </w:rPr>
                              <w:t>市场情绪较乐观，因而</w:t>
                            </w:r>
                            <w:r w:rsidRPr="00D76592">
                              <w:rPr>
                                <w:rFonts w:ascii="楷体_GB2312" w:eastAsia="楷体_GB2312" w:hint="eastAsia"/>
                                <w:sz w:val="24"/>
                                <w:szCs w:val="24"/>
                              </w:rPr>
                              <w:t>短期</w:t>
                            </w:r>
                            <w:r>
                              <w:rPr>
                                <w:rFonts w:ascii="楷体_GB2312" w:eastAsia="楷体_GB2312" w:hint="eastAsia"/>
                                <w:sz w:val="24"/>
                                <w:szCs w:val="24"/>
                              </w:rPr>
                              <w:t>内方向性策略建议买入看涨期权，中长期</w:t>
                            </w:r>
                            <w:r w:rsidRPr="00D76592">
                              <w:rPr>
                                <w:rFonts w:ascii="楷体_GB2312" w:eastAsia="楷体_GB2312" w:hint="eastAsia"/>
                                <w:sz w:val="24"/>
                                <w:szCs w:val="24"/>
                              </w:rPr>
                              <w:t>建议</w:t>
                            </w:r>
                            <w:r>
                              <w:rPr>
                                <w:rFonts w:ascii="楷体_GB2312" w:eastAsia="楷体_GB2312" w:hint="eastAsia"/>
                                <w:sz w:val="24"/>
                                <w:szCs w:val="24"/>
                              </w:rPr>
                              <w:t>做多波动率</w:t>
                            </w:r>
                            <w:r>
                              <w:rPr>
                                <w:rFonts w:ascii="楷体_GB2312" w:eastAsia="楷体_GB2312" w:hint="eastAsia"/>
                                <w:sz w:val="24"/>
                                <w:szCs w:val="24"/>
                              </w:rPr>
                              <w:t>，构建</w:t>
                            </w:r>
                            <w:proofErr w:type="gramStart"/>
                            <w:r>
                              <w:rPr>
                                <w:rFonts w:ascii="楷体_GB2312" w:eastAsia="楷体_GB2312" w:hint="eastAsia"/>
                                <w:sz w:val="24"/>
                                <w:szCs w:val="24"/>
                              </w:rPr>
                              <w:t>买入</w:t>
                            </w:r>
                            <w:r>
                              <w:rPr>
                                <w:rFonts w:ascii="楷体_GB2312" w:eastAsia="楷体_GB2312" w:hint="eastAsia"/>
                                <w:sz w:val="24"/>
                                <w:szCs w:val="24"/>
                              </w:rPr>
                              <w:t>宽跨式</w:t>
                            </w:r>
                            <w:proofErr w:type="gramEnd"/>
                            <w:r>
                              <w:rPr>
                                <w:rFonts w:ascii="楷体_GB2312" w:eastAsia="楷体_GB2312" w:hint="eastAsia"/>
                                <w:sz w:val="24"/>
                                <w:szCs w:val="24"/>
                              </w:rPr>
                              <w:t>策略</w:t>
                            </w:r>
                            <w:r w:rsidRPr="00D76592">
                              <w:rPr>
                                <w:rFonts w:ascii="楷体_GB2312" w:eastAsia="楷体_GB2312" w:hint="eastAsia"/>
                                <w:sz w:val="24"/>
                                <w:szCs w:val="24"/>
                              </w:rPr>
                              <w:t>。</w:t>
                            </w:r>
                          </w:p>
                          <w:p w14:paraId="137CC118" w14:textId="77777777" w:rsidR="006E090B" w:rsidRPr="00C9550B" w:rsidRDefault="006E090B" w:rsidP="006E090B">
                            <w:pPr>
                              <w:spacing w:line="400" w:lineRule="exact"/>
                              <w:ind w:firstLineChars="200" w:firstLine="480"/>
                              <w:rPr>
                                <w:rFonts w:ascii="楷体_GB2312" w:eastAsia="楷体_GB2312"/>
                                <w:sz w:val="24"/>
                                <w:szCs w:val="24"/>
                              </w:rPr>
                            </w:pPr>
                          </w:p>
                          <w:p w14:paraId="689F485C" w14:textId="77777777" w:rsidR="005263BA" w:rsidRPr="00F76DCB" w:rsidRDefault="005263B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2352E28A" w14:textId="77777777" w:rsidR="009C4236" w:rsidRPr="00B650B3" w:rsidRDefault="009C4236" w:rsidP="009C423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761B35">
                              <w:rPr>
                                <w:rFonts w:ascii="楷体_GB2312" w:eastAsia="楷体_GB2312" w:hAnsi="楷体" w:hint="eastAsia"/>
                                <w:sz w:val="24"/>
                              </w:rPr>
                              <w:t>国庆假期期间美盘原糖大幅上涨，且此次价格高点已经高于上次反弹的高点。假期期间巴西货币雷亚尔大幅上涨，巴西大选带动货币走强。原油价格再创新高，能源价格的走强间接利多糖价。另一方面印度的出口补贴已经公布，但当下对贸易流冲击有限，仍需要给出合适的价格，这也导致低位的原糖价格下跌动力不足，印度四季度出口有限。中期的利多或是给糖价有支撑的因素，巴西和欧洲的</w:t>
                            </w:r>
                            <w:proofErr w:type="gramStart"/>
                            <w:r w:rsidRPr="00761B35">
                              <w:rPr>
                                <w:rFonts w:ascii="楷体_GB2312" w:eastAsia="楷体_GB2312" w:hAnsi="楷体" w:hint="eastAsia"/>
                                <w:sz w:val="24"/>
                              </w:rPr>
                              <w:t>减产仍</w:t>
                            </w:r>
                            <w:proofErr w:type="gramEnd"/>
                            <w:r w:rsidRPr="00761B35">
                              <w:rPr>
                                <w:rFonts w:ascii="楷体_GB2312" w:eastAsia="楷体_GB2312" w:hAnsi="楷体" w:hint="eastAsia"/>
                                <w:sz w:val="24"/>
                              </w:rPr>
                              <w:t>对价格有支撑，但长期利空担忧仍在。假期期间国内休市，北方甜菜糖开榨，但是有消息传出，甜菜含糖率低于预期，或导致甜菜糖增产不及预期，另外榨季初甜菜更倾向于生产绵白糖，对于盘</w:t>
                            </w:r>
                            <w:proofErr w:type="gramStart"/>
                            <w:r w:rsidRPr="00761B35">
                              <w:rPr>
                                <w:rFonts w:ascii="楷体_GB2312" w:eastAsia="楷体_GB2312" w:hAnsi="楷体" w:hint="eastAsia"/>
                                <w:sz w:val="24"/>
                              </w:rPr>
                              <w:t>面冲击</w:t>
                            </w:r>
                            <w:proofErr w:type="gramEnd"/>
                            <w:r w:rsidRPr="00761B35">
                              <w:rPr>
                                <w:rFonts w:ascii="楷体_GB2312" w:eastAsia="楷体_GB2312" w:hAnsi="楷体" w:hint="eastAsia"/>
                                <w:sz w:val="24"/>
                              </w:rPr>
                              <w:t>有所减弱。再加上外盘大幅上涨，因此</w:t>
                            </w:r>
                            <w:proofErr w:type="gramStart"/>
                            <w:r w:rsidRPr="00761B35">
                              <w:rPr>
                                <w:rFonts w:ascii="楷体_GB2312" w:eastAsia="楷体_GB2312" w:hAnsi="楷体" w:hint="eastAsia"/>
                                <w:sz w:val="24"/>
                              </w:rPr>
                              <w:t>国内郑糖</w:t>
                            </w:r>
                            <w:proofErr w:type="gramEnd"/>
                            <w:r w:rsidRPr="00761B35">
                              <w:rPr>
                                <w:rFonts w:ascii="楷体_GB2312" w:eastAsia="楷体_GB2312" w:hAnsi="楷体" w:hint="eastAsia"/>
                                <w:sz w:val="24"/>
                              </w:rPr>
                              <w:t>短期或延续反弹走势，反弹高点或高于上次，</w:t>
                            </w:r>
                            <w:proofErr w:type="gramStart"/>
                            <w:r w:rsidRPr="00761B35">
                              <w:rPr>
                                <w:rFonts w:ascii="楷体_GB2312" w:eastAsia="楷体_GB2312" w:hAnsi="楷体" w:hint="eastAsia"/>
                                <w:sz w:val="24"/>
                              </w:rPr>
                              <w:t>郑糖短线</w:t>
                            </w:r>
                            <w:proofErr w:type="gramEnd"/>
                            <w:r w:rsidRPr="00761B35">
                              <w:rPr>
                                <w:rFonts w:ascii="楷体_GB2312" w:eastAsia="楷体_GB2312" w:hAnsi="楷体" w:hint="eastAsia"/>
                                <w:sz w:val="24"/>
                              </w:rPr>
                              <w:t>偏多，中期</w:t>
                            </w:r>
                            <w:r>
                              <w:rPr>
                                <w:rFonts w:ascii="楷体_GB2312" w:eastAsia="楷体_GB2312" w:hAnsi="楷体" w:hint="eastAsia"/>
                                <w:sz w:val="24"/>
                              </w:rPr>
                              <w:t>仍偏弱</w:t>
                            </w:r>
                            <w:r w:rsidRPr="00761B35">
                              <w:rPr>
                                <w:rFonts w:ascii="楷体_GB2312" w:eastAsia="楷体_GB2312" w:hAnsi="楷体" w:hint="eastAsia"/>
                                <w:sz w:val="24"/>
                              </w:rPr>
                              <w:t>。</w:t>
                            </w:r>
                          </w:p>
                          <w:p w14:paraId="3DC98FC4" w14:textId="77777777" w:rsidR="009C4236" w:rsidRPr="00B650B3" w:rsidRDefault="009C4236" w:rsidP="009C4236">
                            <w:pPr>
                              <w:spacing w:line="400" w:lineRule="exact"/>
                              <w:ind w:firstLineChars="200" w:firstLine="480"/>
                              <w:rPr>
                                <w:rFonts w:ascii="楷体_GB2312" w:eastAsia="楷体_GB2312" w:hAnsi="楷体"/>
                                <w:sz w:val="24"/>
                              </w:rPr>
                            </w:pPr>
                            <w:r w:rsidRPr="00ED3DD7">
                              <w:rPr>
                                <w:rFonts w:ascii="楷体_GB2312" w:eastAsia="楷体_GB2312" w:hAnsi="楷体" w:hint="eastAsia"/>
                                <w:sz w:val="24"/>
                              </w:rPr>
                              <w:t>期权方面，</w:t>
                            </w:r>
                            <w:r w:rsidRPr="00B650B3">
                              <w:rPr>
                                <w:rFonts w:ascii="楷体_GB2312" w:eastAsia="楷体_GB2312" w:hAnsi="楷体" w:hint="eastAsia"/>
                                <w:sz w:val="24"/>
                              </w:rPr>
                              <w:t>截至9月28日白糖期权合约总持仓量26.47万张，一周平均日成交量4.13万张，交易活跃度一般。整周来看，白糖期权1901合约最大持仓量方面，看涨期权为行权价5400元/吨，看跌期权为行权价为4600元/吨，与上周保持一致。从PCR角度看，</w:t>
                            </w:r>
                            <w:r>
                              <w:rPr>
                                <w:rFonts w:ascii="楷体_GB2312" w:eastAsia="楷体_GB2312" w:hAnsi="楷体" w:hint="eastAsia"/>
                                <w:sz w:val="24"/>
                              </w:rPr>
                              <w:t>中长期</w:t>
                            </w:r>
                            <w:r w:rsidRPr="00B650B3">
                              <w:rPr>
                                <w:rFonts w:ascii="楷体_GB2312" w:eastAsia="楷体_GB2312" w:hAnsi="楷体" w:hint="eastAsia"/>
                                <w:sz w:val="24"/>
                              </w:rPr>
                              <w:t>内市场情绪</w:t>
                            </w:r>
                            <w:r>
                              <w:rPr>
                                <w:rFonts w:ascii="楷体_GB2312" w:eastAsia="楷体_GB2312" w:hAnsi="楷体" w:hint="eastAsia"/>
                                <w:sz w:val="24"/>
                              </w:rPr>
                              <w:t>仍偏</w:t>
                            </w:r>
                            <w:r w:rsidRPr="00B650B3">
                              <w:rPr>
                                <w:rFonts w:ascii="楷体_GB2312" w:eastAsia="楷体_GB2312" w:hAnsi="楷体" w:hint="eastAsia"/>
                                <w:sz w:val="24"/>
                              </w:rPr>
                              <w:t>悲观。</w:t>
                            </w:r>
                          </w:p>
                          <w:p w14:paraId="789D1E8D" w14:textId="77777777" w:rsidR="009C4236" w:rsidRPr="00B650B3" w:rsidRDefault="009C4236" w:rsidP="009C4236">
                            <w:pPr>
                              <w:spacing w:line="400" w:lineRule="exact"/>
                              <w:ind w:firstLineChars="200" w:firstLine="480"/>
                              <w:rPr>
                                <w:rFonts w:ascii="楷体_GB2312" w:eastAsia="楷体_GB2312" w:hAnsi="楷体"/>
                                <w:sz w:val="24"/>
                              </w:rPr>
                            </w:pPr>
                            <w:r>
                              <w:rPr>
                                <w:rFonts w:ascii="楷体_GB2312" w:eastAsia="楷体_GB2312" w:hAnsi="楷体" w:hint="eastAsia"/>
                                <w:sz w:val="24"/>
                              </w:rPr>
                              <w:t>从期权波动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w:t>
                            </w:r>
                            <w:r w:rsidRPr="00B650B3">
                              <w:rPr>
                                <w:rFonts w:ascii="楷体_GB2312" w:eastAsia="楷体_GB2312" w:hAnsi="楷体" w:hint="eastAsia"/>
                                <w:sz w:val="24"/>
                              </w:rPr>
                              <w:t>本周白糖主力合约1901合约平值隐含波动率保持震荡走势，周五由于假期因素导致有所上升，9月28日周五为17.32%。30天历史波动率持续走低，28号达到12.98%的新低。从白糖历史</w:t>
                            </w:r>
                            <w:proofErr w:type="gramStart"/>
                            <w:r w:rsidRPr="00B650B3">
                              <w:rPr>
                                <w:rFonts w:ascii="楷体_GB2312" w:eastAsia="楷体_GB2312" w:hAnsi="楷体" w:hint="eastAsia"/>
                                <w:sz w:val="24"/>
                              </w:rPr>
                              <w:t>波动率锥看</w:t>
                            </w:r>
                            <w:proofErr w:type="gramEnd"/>
                            <w:r w:rsidRPr="00B650B3">
                              <w:rPr>
                                <w:rFonts w:ascii="楷体_GB2312" w:eastAsia="楷体_GB2312" w:hAnsi="楷体" w:hint="eastAsia"/>
                                <w:sz w:val="24"/>
                              </w:rPr>
                              <w:t>，当前5、10、30日历史波动率均在中位数到四分之三分位数之间的位置，5日历史波动率与上周相比有大幅上升。</w:t>
                            </w:r>
                            <w:r w:rsidRPr="00AA5B7F">
                              <w:rPr>
                                <w:rFonts w:ascii="楷体_GB2312" w:eastAsia="楷体_GB2312" w:hAnsi="楷体" w:hint="eastAsia"/>
                                <w:sz w:val="24"/>
                              </w:rPr>
                              <w:t>整体来</w:t>
                            </w:r>
                            <w:r>
                              <w:rPr>
                                <w:rFonts w:ascii="楷体_GB2312" w:eastAsia="楷体_GB2312" w:hAnsi="楷体" w:hint="eastAsia"/>
                                <w:sz w:val="24"/>
                              </w:rPr>
                              <w:t>看，近期白糖期权历史波动率持续下降，隐含波动率也处于震荡趋势。</w:t>
                            </w:r>
                          </w:p>
                          <w:p w14:paraId="3EAA0AF2" w14:textId="77777777" w:rsidR="009C4236" w:rsidRPr="00764E33" w:rsidRDefault="009C4236" w:rsidP="009C423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w:t>
                            </w:r>
                            <w:proofErr w:type="gramStart"/>
                            <w:r>
                              <w:rPr>
                                <w:rFonts w:ascii="楷体_GB2312" w:eastAsia="楷体_GB2312" w:hAnsi="楷体" w:hint="eastAsia"/>
                                <w:sz w:val="24"/>
                              </w:rPr>
                              <w:t>国内郑糖</w:t>
                            </w:r>
                            <w:proofErr w:type="gramEnd"/>
                            <w:r>
                              <w:rPr>
                                <w:rFonts w:ascii="楷体_GB2312" w:eastAsia="楷体_GB2312" w:hAnsi="楷体" w:hint="eastAsia"/>
                                <w:sz w:val="24"/>
                              </w:rPr>
                              <w:t>短期或延续反弹走势，反弹高点或高于上次，</w:t>
                            </w:r>
                            <w:r w:rsidRPr="00761B35">
                              <w:rPr>
                                <w:rFonts w:ascii="楷体_GB2312" w:eastAsia="楷体_GB2312" w:hAnsi="楷体" w:hint="eastAsia"/>
                                <w:sz w:val="24"/>
                              </w:rPr>
                              <w:t>短线偏多</w:t>
                            </w:r>
                            <w:r>
                              <w:rPr>
                                <w:rFonts w:ascii="楷体_GB2312" w:eastAsia="楷体_GB2312" w:hAnsi="楷体" w:hint="eastAsia"/>
                                <w:sz w:val="24"/>
                              </w:rPr>
                              <w:t>，</w:t>
                            </w:r>
                            <w:r w:rsidRPr="007E680D">
                              <w:rPr>
                                <w:rFonts w:ascii="楷体_GB2312" w:eastAsia="楷体_GB2312" w:hAnsi="楷体" w:hint="eastAsia"/>
                                <w:sz w:val="24"/>
                              </w:rPr>
                              <w:t>建议投资者考虑</w:t>
                            </w:r>
                            <w:r>
                              <w:rPr>
                                <w:rFonts w:ascii="楷体_GB2312" w:eastAsia="楷体_GB2312" w:hAnsi="楷体" w:hint="eastAsia"/>
                                <w:sz w:val="24"/>
                              </w:rPr>
                              <w:t>构建牛市价差策略</w:t>
                            </w:r>
                            <w:r w:rsidRPr="007E680D">
                              <w:rPr>
                                <w:rFonts w:ascii="楷体_GB2312" w:eastAsia="楷体_GB2312" w:hAnsi="楷体" w:hint="eastAsia"/>
                                <w:sz w:val="24"/>
                              </w:rPr>
                              <w:t>。</w:t>
                            </w:r>
                          </w:p>
                          <w:p w14:paraId="2799B519" w14:textId="77777777" w:rsidR="00784CA4" w:rsidRPr="009C4236" w:rsidRDefault="00784CA4" w:rsidP="00784CA4">
                            <w:pPr>
                              <w:ind w:left="-899" w:rightChars="-416" w:right="-874"/>
                              <w:rPr>
                                <w:rFonts w:ascii="楷体" w:eastAsia="楷体" w:hAnsi="楷体"/>
                                <w:sz w:val="24"/>
                              </w:rPr>
                            </w:pPr>
                          </w:p>
                          <w:p w14:paraId="41A7EAE1" w14:textId="563A6B59" w:rsidR="005263BA" w:rsidRPr="00784CA4" w:rsidRDefault="005263BA" w:rsidP="00AB505D">
                            <w:pPr>
                              <w:spacing w:line="400" w:lineRule="exact"/>
                              <w:ind w:firstLineChars="200" w:firstLine="480"/>
                              <w:rPr>
                                <w:rFonts w:ascii="楷体_GB2312" w:eastAsia="楷体_GB2312"/>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49.45pt;margin-top:1.4pt;width:549.7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" filled="f" stroked="f">
                <v:textbox>
                  <w:txbxContent>
                    <w:p w14:paraId="6A06B11A" w14:textId="77777777" w:rsidR="005263BA" w:rsidRDefault="005263B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5263BA" w:rsidRDefault="005263B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5BA704F8" w14:textId="3B112B1B" w:rsidR="00900334" w:rsidRDefault="00900334" w:rsidP="00900334">
                      <w:pPr>
                        <w:spacing w:line="400" w:lineRule="exact"/>
                        <w:ind w:firstLineChars="200" w:firstLine="480"/>
                        <w:rPr>
                          <w:rFonts w:ascii="楷体_GB2312" w:eastAsia="楷体_GB2312" w:hint="eastAsia"/>
                          <w:sz w:val="24"/>
                          <w:szCs w:val="24"/>
                        </w:rPr>
                      </w:pPr>
                      <w:r>
                        <w:rPr>
                          <w:rFonts w:ascii="楷体_GB2312" w:eastAsia="楷体_GB2312" w:hint="eastAsia"/>
                          <w:sz w:val="24"/>
                          <w:szCs w:val="24"/>
                        </w:rPr>
                        <w:t>基本面上，</w:t>
                      </w:r>
                      <w:r w:rsidRPr="00761B35">
                        <w:rPr>
                          <w:rFonts w:ascii="楷体_GB2312" w:eastAsia="楷体_GB2312" w:hint="eastAsia"/>
                          <w:sz w:val="24"/>
                          <w:szCs w:val="24"/>
                        </w:rPr>
                        <w:t>长假期间</w:t>
                      </w:r>
                      <w:proofErr w:type="gramStart"/>
                      <w:r w:rsidRPr="00761B35">
                        <w:rPr>
                          <w:rFonts w:ascii="楷体_GB2312" w:eastAsia="楷体_GB2312" w:hint="eastAsia"/>
                          <w:sz w:val="24"/>
                          <w:szCs w:val="24"/>
                        </w:rPr>
                        <w:t>美豆并</w:t>
                      </w:r>
                      <w:proofErr w:type="gramEnd"/>
                      <w:r w:rsidRPr="00761B35">
                        <w:rPr>
                          <w:rFonts w:ascii="楷体_GB2312" w:eastAsia="楷体_GB2312" w:hint="eastAsia"/>
                          <w:sz w:val="24"/>
                          <w:szCs w:val="24"/>
                        </w:rPr>
                        <w:t>无实质性利好出现。中国外交部宣布美国国务卿将于10月8日访华，双方将就中美关系及共同关心的国际和地区问题交换意见，可能会推动重</w:t>
                      </w:r>
                      <w:proofErr w:type="gramStart"/>
                      <w:r w:rsidRPr="00761B35">
                        <w:rPr>
                          <w:rFonts w:ascii="楷体_GB2312" w:eastAsia="楷体_GB2312" w:hint="eastAsia"/>
                          <w:sz w:val="24"/>
                          <w:szCs w:val="24"/>
                        </w:rPr>
                        <w:t>启贸易</w:t>
                      </w:r>
                      <w:proofErr w:type="gramEnd"/>
                      <w:r w:rsidRPr="00761B35">
                        <w:rPr>
                          <w:rFonts w:ascii="楷体_GB2312" w:eastAsia="楷体_GB2312" w:hint="eastAsia"/>
                          <w:sz w:val="24"/>
                          <w:szCs w:val="24"/>
                        </w:rPr>
                        <w:t>谈判。综合来看，</w:t>
                      </w:r>
                      <w:proofErr w:type="gramStart"/>
                      <w:r w:rsidRPr="00761B35">
                        <w:rPr>
                          <w:rFonts w:ascii="楷体_GB2312" w:eastAsia="楷体_GB2312" w:hint="eastAsia"/>
                          <w:sz w:val="24"/>
                          <w:szCs w:val="24"/>
                        </w:rPr>
                        <w:t>美豆不</w:t>
                      </w:r>
                      <w:proofErr w:type="gramEnd"/>
                      <w:r w:rsidRPr="00761B35">
                        <w:rPr>
                          <w:rFonts w:ascii="楷体_GB2312" w:eastAsia="楷体_GB2312" w:hint="eastAsia"/>
                          <w:sz w:val="24"/>
                          <w:szCs w:val="24"/>
                        </w:rPr>
                        <w:t>具备持续上涨动力，近期出口销售虽有所增加，但不足以消化中国买家撤出后的巨大结余。在贸易战持续的背景下，</w:t>
                      </w:r>
                      <w:proofErr w:type="gramStart"/>
                      <w:r w:rsidRPr="00761B35">
                        <w:rPr>
                          <w:rFonts w:ascii="楷体_GB2312" w:eastAsia="楷体_GB2312" w:hint="eastAsia"/>
                          <w:sz w:val="24"/>
                          <w:szCs w:val="24"/>
                        </w:rPr>
                        <w:t>美豆和</w:t>
                      </w:r>
                      <w:proofErr w:type="gramEnd"/>
                      <w:r w:rsidRPr="00761B35">
                        <w:rPr>
                          <w:rFonts w:ascii="楷体_GB2312" w:eastAsia="楷体_GB2312" w:hint="eastAsia"/>
                          <w:sz w:val="24"/>
                          <w:szCs w:val="24"/>
                        </w:rPr>
                        <w:t>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的走势无明显相关性，对于国内市场而言，基本上是对于</w:t>
                      </w:r>
                      <w:proofErr w:type="gramStart"/>
                      <w:r w:rsidRPr="00761B35">
                        <w:rPr>
                          <w:rFonts w:ascii="楷体_GB2312" w:eastAsia="楷体_GB2312" w:hint="eastAsia"/>
                          <w:sz w:val="24"/>
                          <w:szCs w:val="24"/>
                        </w:rPr>
                        <w:t>未来缺豆的</w:t>
                      </w:r>
                      <w:proofErr w:type="gramEnd"/>
                      <w:r w:rsidRPr="00761B35">
                        <w:rPr>
                          <w:rFonts w:ascii="楷体_GB2312" w:eastAsia="楷体_GB2312" w:hint="eastAsia"/>
                          <w:sz w:val="24"/>
                          <w:szCs w:val="24"/>
                        </w:rPr>
                        <w:t>一致预期，</w:t>
                      </w:r>
                      <w:proofErr w:type="gramStart"/>
                      <w:r w:rsidRPr="00761B35">
                        <w:rPr>
                          <w:rFonts w:ascii="楷体_GB2312" w:eastAsia="楷体_GB2312" w:hint="eastAsia"/>
                          <w:sz w:val="24"/>
                          <w:szCs w:val="24"/>
                        </w:rPr>
                        <w:t>若政策</w:t>
                      </w:r>
                      <w:proofErr w:type="gramEnd"/>
                      <w:r w:rsidRPr="00761B35">
                        <w:rPr>
                          <w:rFonts w:ascii="楷体_GB2312" w:eastAsia="楷体_GB2312" w:hint="eastAsia"/>
                          <w:sz w:val="24"/>
                          <w:szCs w:val="24"/>
                        </w:rPr>
                        <w:t>面出现缓解迹象，连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将出现大幅波动，在政策面无明显异动的情况下，连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将继续强势表现</w:t>
                      </w:r>
                      <w:r>
                        <w:rPr>
                          <w:rFonts w:ascii="楷体_GB2312" w:eastAsia="楷体_GB2312" w:hint="eastAsia"/>
                          <w:sz w:val="24"/>
                          <w:szCs w:val="24"/>
                        </w:rPr>
                        <w:t>。</w:t>
                      </w:r>
                    </w:p>
                    <w:p w14:paraId="31768DAA" w14:textId="77777777" w:rsidR="00900334" w:rsidRPr="00011C2C" w:rsidRDefault="00900334" w:rsidP="00900334">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Pr>
                          <w:rFonts w:ascii="楷体_GB2312" w:eastAsia="楷体_GB2312" w:hint="eastAsia"/>
                          <w:sz w:val="24"/>
                          <w:szCs w:val="24"/>
                        </w:rPr>
                        <w:t>，</w:t>
                      </w:r>
                      <w:r w:rsidRPr="00011C2C">
                        <w:rPr>
                          <w:rFonts w:ascii="楷体_GB2312" w:eastAsia="楷体_GB2312" w:hint="eastAsia"/>
                          <w:sz w:val="24"/>
                          <w:szCs w:val="24"/>
                        </w:rPr>
                        <w:t>截至2018年9月</w:t>
                      </w:r>
                      <w:r>
                        <w:rPr>
                          <w:rFonts w:ascii="楷体_GB2312" w:eastAsia="楷体_GB2312" w:hint="eastAsia"/>
                          <w:sz w:val="24"/>
                          <w:szCs w:val="24"/>
                        </w:rPr>
                        <w:t>28</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w:t>
                      </w:r>
                      <w:r>
                        <w:rPr>
                          <w:rFonts w:ascii="楷体_GB2312" w:eastAsia="楷体_GB2312" w:hint="eastAsia"/>
                          <w:sz w:val="24"/>
                          <w:szCs w:val="24"/>
                        </w:rPr>
                        <w:t>51.91</w:t>
                      </w:r>
                      <w:r w:rsidRPr="00011C2C">
                        <w:rPr>
                          <w:rFonts w:ascii="楷体_GB2312" w:eastAsia="楷体_GB2312" w:hint="eastAsia"/>
                          <w:sz w:val="24"/>
                          <w:szCs w:val="24"/>
                        </w:rPr>
                        <w:t>万张</w:t>
                      </w:r>
                      <w:r>
                        <w:rPr>
                          <w:rFonts w:ascii="楷体_GB2312" w:eastAsia="楷体_GB2312" w:hint="eastAsia"/>
                          <w:sz w:val="24"/>
                          <w:szCs w:val="24"/>
                        </w:rPr>
                        <w:t>，</w:t>
                      </w:r>
                      <w:r w:rsidRPr="00011C2C">
                        <w:rPr>
                          <w:rFonts w:ascii="楷体_GB2312" w:eastAsia="楷体_GB2312" w:hint="eastAsia"/>
                          <w:sz w:val="24"/>
                          <w:szCs w:val="24"/>
                        </w:rPr>
                        <w:t>总成交量较上周</w:t>
                      </w:r>
                      <w:r>
                        <w:rPr>
                          <w:rFonts w:ascii="楷体_GB2312" w:eastAsia="楷体_GB2312" w:hint="eastAsia"/>
                          <w:sz w:val="24"/>
                          <w:szCs w:val="24"/>
                        </w:rPr>
                        <w:t>大幅上升72%</w:t>
                      </w:r>
                      <w:r w:rsidRPr="00011C2C">
                        <w:rPr>
                          <w:rFonts w:ascii="楷体_GB2312" w:eastAsia="楷体_GB2312" w:hint="eastAsia"/>
                          <w:sz w:val="24"/>
                          <w:szCs w:val="24"/>
                        </w:rPr>
                        <w:t>，平均日成交量</w:t>
                      </w:r>
                      <w:r>
                        <w:rPr>
                          <w:rFonts w:ascii="楷体_GB2312" w:eastAsia="楷体_GB2312" w:hint="eastAsia"/>
                          <w:sz w:val="24"/>
                          <w:szCs w:val="24"/>
                        </w:rPr>
                        <w:t>17</w:t>
                      </w:r>
                      <w:r w:rsidRPr="00011C2C">
                        <w:rPr>
                          <w:rFonts w:ascii="楷体_GB2312" w:eastAsia="楷体_GB2312" w:hint="eastAsia"/>
                          <w:sz w:val="24"/>
                          <w:szCs w:val="24"/>
                        </w:rPr>
                        <w:t>万张</w:t>
                      </w:r>
                      <w:r>
                        <w:rPr>
                          <w:rFonts w:ascii="楷体_GB2312" w:eastAsia="楷体_GB2312" w:hint="eastAsia"/>
                          <w:sz w:val="24"/>
                          <w:szCs w:val="24"/>
                        </w:rPr>
                        <w:t>（双边）</w:t>
                      </w:r>
                      <w:r w:rsidRPr="00011C2C">
                        <w:rPr>
                          <w:rFonts w:ascii="楷体_GB2312" w:eastAsia="楷体_GB2312" w:hint="eastAsia"/>
                          <w:sz w:val="24"/>
                          <w:szCs w:val="24"/>
                        </w:rPr>
                        <w:t>。目前市场支撑位和压力位</w:t>
                      </w:r>
                      <w:r>
                        <w:rPr>
                          <w:rFonts w:ascii="楷体_GB2312" w:eastAsia="楷体_GB2312" w:hint="eastAsia"/>
                          <w:sz w:val="24"/>
                          <w:szCs w:val="24"/>
                        </w:rPr>
                        <w:t>重心有所上升</w:t>
                      </w:r>
                      <w:r w:rsidRPr="00011C2C">
                        <w:rPr>
                          <w:rFonts w:ascii="楷体_GB2312" w:eastAsia="楷体_GB2312" w:hint="eastAsia"/>
                          <w:sz w:val="24"/>
                          <w:szCs w:val="24"/>
                        </w:rPr>
                        <w:t>。豆</w:t>
                      </w:r>
                      <w:proofErr w:type="gramStart"/>
                      <w:r w:rsidRPr="00011C2C">
                        <w:rPr>
                          <w:rFonts w:ascii="楷体_GB2312" w:eastAsia="楷体_GB2312" w:hint="eastAsia"/>
                          <w:sz w:val="24"/>
                          <w:szCs w:val="24"/>
                        </w:rPr>
                        <w:t>粕</w:t>
                      </w:r>
                      <w:proofErr w:type="gramEnd"/>
                      <w:r w:rsidRPr="00011C2C">
                        <w:rPr>
                          <w:rFonts w:ascii="楷体_GB2312" w:eastAsia="楷体_GB2312" w:hint="eastAsia"/>
                          <w:sz w:val="24"/>
                          <w:szCs w:val="24"/>
                        </w:rPr>
                        <w:t>合约</w:t>
                      </w:r>
                      <w:proofErr w:type="gramStart"/>
                      <w:r w:rsidRPr="00011C2C">
                        <w:rPr>
                          <w:rFonts w:ascii="楷体_GB2312" w:eastAsia="楷体_GB2312" w:hint="eastAsia"/>
                          <w:sz w:val="24"/>
                          <w:szCs w:val="24"/>
                        </w:rPr>
                        <w:t>期权总</w:t>
                      </w:r>
                      <w:proofErr w:type="gramEnd"/>
                      <w:r w:rsidRPr="00011C2C">
                        <w:rPr>
                          <w:rFonts w:ascii="楷体_GB2312" w:eastAsia="楷体_GB2312" w:hint="eastAsia"/>
                          <w:sz w:val="24"/>
                          <w:szCs w:val="24"/>
                        </w:rPr>
                        <w:t>持仓量PCR较上周</w:t>
                      </w:r>
                      <w:r>
                        <w:rPr>
                          <w:rFonts w:ascii="楷体_GB2312" w:eastAsia="楷体_GB2312" w:hint="eastAsia"/>
                          <w:sz w:val="24"/>
                          <w:szCs w:val="24"/>
                        </w:rPr>
                        <w:t>呈上升趋势</w:t>
                      </w:r>
                      <w:r w:rsidRPr="00011C2C">
                        <w:rPr>
                          <w:rFonts w:ascii="楷体_GB2312" w:eastAsia="楷体_GB2312" w:hint="eastAsia"/>
                          <w:sz w:val="24"/>
                          <w:szCs w:val="24"/>
                        </w:rPr>
                        <w:t>，平均</w:t>
                      </w:r>
                      <w:r>
                        <w:rPr>
                          <w:rFonts w:ascii="楷体_GB2312" w:eastAsia="楷体_GB2312" w:hint="eastAsia"/>
                          <w:sz w:val="24"/>
                          <w:szCs w:val="24"/>
                        </w:rPr>
                        <w:t>1.14，上升6.54%</w:t>
                      </w:r>
                      <w:r w:rsidRPr="00011C2C">
                        <w:rPr>
                          <w:rFonts w:ascii="楷体_GB2312" w:eastAsia="楷体_GB2312" w:hint="eastAsia"/>
                          <w:sz w:val="24"/>
                          <w:szCs w:val="24"/>
                        </w:rPr>
                        <w:t>。从整体</w:t>
                      </w:r>
                      <w:r>
                        <w:rPr>
                          <w:rFonts w:ascii="楷体_GB2312" w:eastAsia="楷体_GB2312" w:hint="eastAsia"/>
                          <w:sz w:val="24"/>
                          <w:szCs w:val="24"/>
                        </w:rPr>
                        <w:t>来</w:t>
                      </w:r>
                      <w:r w:rsidRPr="00011C2C">
                        <w:rPr>
                          <w:rFonts w:ascii="楷体_GB2312" w:eastAsia="楷体_GB2312" w:hint="eastAsia"/>
                          <w:sz w:val="24"/>
                          <w:szCs w:val="24"/>
                        </w:rPr>
                        <w:t>看</w:t>
                      </w:r>
                      <w:r>
                        <w:rPr>
                          <w:rFonts w:ascii="楷体_GB2312" w:eastAsia="楷体_GB2312" w:hint="eastAsia"/>
                          <w:sz w:val="24"/>
                          <w:szCs w:val="24"/>
                        </w:rPr>
                        <w:t>，</w:t>
                      </w:r>
                      <w:r w:rsidRPr="00011C2C">
                        <w:rPr>
                          <w:rFonts w:ascii="楷体_GB2312" w:eastAsia="楷体_GB2312" w:hint="eastAsia"/>
                          <w:sz w:val="24"/>
                          <w:szCs w:val="24"/>
                        </w:rPr>
                        <w:t>目前市场投资者情绪</w:t>
                      </w:r>
                      <w:r>
                        <w:rPr>
                          <w:rFonts w:ascii="楷体_GB2312" w:eastAsia="楷体_GB2312" w:hint="eastAsia"/>
                          <w:sz w:val="24"/>
                          <w:szCs w:val="24"/>
                        </w:rPr>
                        <w:t>偏乐观</w:t>
                      </w:r>
                      <w:r w:rsidRPr="00011C2C">
                        <w:rPr>
                          <w:rFonts w:ascii="楷体_GB2312" w:eastAsia="楷体_GB2312" w:hint="eastAsia"/>
                          <w:sz w:val="24"/>
                          <w:szCs w:val="24"/>
                        </w:rPr>
                        <w:t>。</w:t>
                      </w:r>
                    </w:p>
                    <w:p w14:paraId="2C2577FE" w14:textId="77777777" w:rsidR="00900334" w:rsidRPr="003771C1" w:rsidRDefault="00900334" w:rsidP="00900334">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w:t>
                      </w:r>
                      <w:r>
                        <w:rPr>
                          <w:rFonts w:ascii="楷体_GB2312" w:eastAsia="楷体_GB2312" w:hint="eastAsia"/>
                          <w:sz w:val="24"/>
                          <w:szCs w:val="24"/>
                        </w:rPr>
                        <w:t>在周五受假期影响大幅上升，9月28日</w:t>
                      </w:r>
                      <w:proofErr w:type="gramStart"/>
                      <w:r>
                        <w:rPr>
                          <w:rFonts w:ascii="楷体_GB2312" w:eastAsia="楷体_GB2312" w:hint="eastAsia"/>
                          <w:sz w:val="24"/>
                          <w:szCs w:val="24"/>
                        </w:rPr>
                        <w:t>周五</w:t>
                      </w:r>
                      <w:r w:rsidRPr="00A96A91">
                        <w:rPr>
                          <w:rFonts w:ascii="楷体_GB2312" w:eastAsia="楷体_GB2312" w:hint="eastAsia"/>
                          <w:sz w:val="24"/>
                          <w:szCs w:val="24"/>
                        </w:rPr>
                        <w:t>平</w:t>
                      </w:r>
                      <w:proofErr w:type="gramEnd"/>
                      <w:r w:rsidRPr="00A96A91">
                        <w:rPr>
                          <w:rFonts w:ascii="楷体_GB2312" w:eastAsia="楷体_GB2312" w:hint="eastAsia"/>
                          <w:sz w:val="24"/>
                          <w:szCs w:val="24"/>
                        </w:rPr>
                        <w:t>值期权的隐含波动率为</w:t>
                      </w:r>
                      <w:r>
                        <w:rPr>
                          <w:rFonts w:ascii="楷体_GB2312" w:eastAsia="楷体_GB2312" w:hint="eastAsia"/>
                          <w:sz w:val="24"/>
                          <w:szCs w:val="24"/>
                        </w:rPr>
                        <w:t>21.70</w:t>
                      </w:r>
                      <w:r w:rsidRPr="00A96A91">
                        <w:rPr>
                          <w:rFonts w:ascii="楷体_GB2312" w:eastAsia="楷体_GB2312" w:hint="eastAsia"/>
                          <w:sz w:val="24"/>
                          <w:szCs w:val="24"/>
                        </w:rPr>
                        <w:t>%</w:t>
                      </w:r>
                      <w:r>
                        <w:rPr>
                          <w:rFonts w:ascii="楷体_GB2312" w:eastAsia="楷体_GB2312" w:hint="eastAsia"/>
                          <w:sz w:val="24"/>
                          <w:szCs w:val="24"/>
                        </w:rPr>
                        <w:t>；而</w:t>
                      </w:r>
                      <w:r w:rsidRPr="00A96A91">
                        <w:rPr>
                          <w:rFonts w:ascii="楷体_GB2312" w:eastAsia="楷体_GB2312" w:hint="eastAsia"/>
                          <w:sz w:val="24"/>
                          <w:szCs w:val="24"/>
                        </w:rPr>
                        <w:t>30日历史波动率为</w:t>
                      </w:r>
                      <w:r>
                        <w:rPr>
                          <w:rFonts w:ascii="楷体_GB2312" w:eastAsia="楷体_GB2312" w:hint="eastAsia"/>
                          <w:sz w:val="24"/>
                          <w:szCs w:val="24"/>
                        </w:rPr>
                        <w:t>19.08</w:t>
                      </w:r>
                      <w:r w:rsidRPr="00A96A91">
                        <w:rPr>
                          <w:rFonts w:ascii="楷体_GB2312" w:eastAsia="楷体_GB2312" w:hint="eastAsia"/>
                          <w:sz w:val="24"/>
                          <w:szCs w:val="24"/>
                        </w:rPr>
                        <w:t>%。</w:t>
                      </w:r>
                      <w:r>
                        <w:rPr>
                          <w:rFonts w:ascii="楷体_GB2312" w:eastAsia="楷体_GB2312" w:hint="eastAsia"/>
                          <w:sz w:val="24"/>
                          <w:szCs w:val="24"/>
                        </w:rPr>
                        <w:t>历史波动率重心有所下移，隐含</w:t>
                      </w:r>
                      <w:proofErr w:type="gramStart"/>
                      <w:r>
                        <w:rPr>
                          <w:rFonts w:ascii="楷体_GB2312" w:eastAsia="楷体_GB2312" w:hint="eastAsia"/>
                          <w:sz w:val="24"/>
                          <w:szCs w:val="24"/>
                        </w:rPr>
                        <w:t>波动率受国庆</w:t>
                      </w:r>
                      <w:proofErr w:type="gramEnd"/>
                      <w:r>
                        <w:rPr>
                          <w:rFonts w:ascii="楷体_GB2312" w:eastAsia="楷体_GB2312" w:hint="eastAsia"/>
                          <w:sz w:val="24"/>
                          <w:szCs w:val="24"/>
                        </w:rPr>
                        <w:t>假期影响表现出正常的上涨，预计节后隐含波动率先上升后回落的概率较大</w:t>
                      </w:r>
                      <w:r w:rsidRPr="00A96A91">
                        <w:rPr>
                          <w:rFonts w:ascii="楷体_GB2312" w:eastAsia="楷体_GB2312" w:hint="eastAsia"/>
                          <w:sz w:val="24"/>
                          <w:szCs w:val="24"/>
                        </w:rPr>
                        <w:t>。</w:t>
                      </w: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分布图来看，9月28日</w:t>
                      </w:r>
                      <w:r w:rsidRPr="001B1802">
                        <w:rPr>
                          <w:rFonts w:ascii="楷体_GB2312" w:eastAsia="楷体_GB2312" w:hint="eastAsia"/>
                          <w:sz w:val="24"/>
                          <w:szCs w:val="24"/>
                        </w:rPr>
                        <w:t>大商所豆</w:t>
                      </w:r>
                      <w:proofErr w:type="gramStart"/>
                      <w:r w:rsidRPr="001B1802">
                        <w:rPr>
                          <w:rFonts w:ascii="楷体_GB2312" w:eastAsia="楷体_GB2312" w:hint="eastAsia"/>
                          <w:sz w:val="24"/>
                          <w:szCs w:val="24"/>
                        </w:rPr>
                        <w:t>粕</w:t>
                      </w:r>
                      <w:proofErr w:type="gramEnd"/>
                      <w:r>
                        <w:rPr>
                          <w:rFonts w:ascii="楷体_GB2312" w:eastAsia="楷体_GB2312" w:hint="eastAsia"/>
                          <w:sz w:val="24"/>
                          <w:szCs w:val="24"/>
                        </w:rPr>
                        <w:t>5日历史</w:t>
                      </w:r>
                      <w:proofErr w:type="gramStart"/>
                      <w:r>
                        <w:rPr>
                          <w:rFonts w:ascii="楷体_GB2312" w:eastAsia="楷体_GB2312" w:hint="eastAsia"/>
                          <w:sz w:val="24"/>
                          <w:szCs w:val="24"/>
                        </w:rPr>
                        <w:t>波动率重回</w:t>
                      </w:r>
                      <w:proofErr w:type="gramEnd"/>
                      <w:r>
                        <w:rPr>
                          <w:rFonts w:ascii="楷体_GB2312" w:eastAsia="楷体_GB2312" w:hint="eastAsia"/>
                          <w:sz w:val="24"/>
                          <w:szCs w:val="24"/>
                        </w:rPr>
                        <w:t>中分位附近，而10日、20日历史波动率仍在中分位以下，较上周有所下降。预计近期豆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历史波动率将呈现震荡趋势。</w:t>
                      </w:r>
                    </w:p>
                    <w:p w14:paraId="34791ED2" w14:textId="05BF6E47" w:rsidR="00900334" w:rsidRDefault="00900334" w:rsidP="00900334">
                      <w:pPr>
                        <w:spacing w:line="400" w:lineRule="exact"/>
                        <w:ind w:firstLineChars="200" w:firstLine="480"/>
                        <w:rPr>
                          <w:rFonts w:ascii="楷体_GB2312" w:eastAsia="楷体_GB2312"/>
                          <w:sz w:val="24"/>
                          <w:szCs w:val="24"/>
                        </w:rPr>
                      </w:pPr>
                      <w:r>
                        <w:rPr>
                          <w:rFonts w:ascii="楷体_GB2312" w:eastAsia="楷体_GB2312" w:hint="eastAsia"/>
                          <w:sz w:val="24"/>
                          <w:szCs w:val="24"/>
                        </w:rPr>
                        <w:t>策略上，</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sidRPr="00761B35">
                        <w:rPr>
                          <w:rFonts w:ascii="楷体_GB2312" w:eastAsia="楷体_GB2312" w:hint="eastAsia"/>
                          <w:sz w:val="24"/>
                          <w:szCs w:val="24"/>
                        </w:rPr>
                        <w:t>在贸易战持续的背景下，</w:t>
                      </w:r>
                      <w:r>
                        <w:rPr>
                          <w:rFonts w:ascii="楷体_GB2312" w:eastAsia="楷体_GB2312" w:hint="eastAsia"/>
                          <w:sz w:val="24"/>
                          <w:szCs w:val="24"/>
                        </w:rPr>
                        <w:t>波动率明显上升，短期来看偏强</w:t>
                      </w:r>
                      <w:r w:rsidRPr="00D76592">
                        <w:rPr>
                          <w:rFonts w:ascii="楷体_GB2312" w:eastAsia="楷体_GB2312" w:hint="eastAsia"/>
                          <w:sz w:val="24"/>
                          <w:szCs w:val="24"/>
                        </w:rPr>
                        <w:t>，</w:t>
                      </w:r>
                      <w:r>
                        <w:rPr>
                          <w:rFonts w:ascii="楷体_GB2312" w:eastAsia="楷体_GB2312" w:hint="eastAsia"/>
                          <w:sz w:val="24"/>
                          <w:szCs w:val="24"/>
                        </w:rPr>
                        <w:t>市场情绪较乐观，因而</w:t>
                      </w:r>
                      <w:r w:rsidRPr="00D76592">
                        <w:rPr>
                          <w:rFonts w:ascii="楷体_GB2312" w:eastAsia="楷体_GB2312" w:hint="eastAsia"/>
                          <w:sz w:val="24"/>
                          <w:szCs w:val="24"/>
                        </w:rPr>
                        <w:t>短期</w:t>
                      </w:r>
                      <w:r>
                        <w:rPr>
                          <w:rFonts w:ascii="楷体_GB2312" w:eastAsia="楷体_GB2312" w:hint="eastAsia"/>
                          <w:sz w:val="24"/>
                          <w:szCs w:val="24"/>
                        </w:rPr>
                        <w:t>内方向性策略建议买入看涨期权，中长期</w:t>
                      </w:r>
                      <w:r w:rsidRPr="00D76592">
                        <w:rPr>
                          <w:rFonts w:ascii="楷体_GB2312" w:eastAsia="楷体_GB2312" w:hint="eastAsia"/>
                          <w:sz w:val="24"/>
                          <w:szCs w:val="24"/>
                        </w:rPr>
                        <w:t>建议</w:t>
                      </w:r>
                      <w:r>
                        <w:rPr>
                          <w:rFonts w:ascii="楷体_GB2312" w:eastAsia="楷体_GB2312" w:hint="eastAsia"/>
                          <w:sz w:val="24"/>
                          <w:szCs w:val="24"/>
                        </w:rPr>
                        <w:t>做多波动率</w:t>
                      </w:r>
                      <w:r>
                        <w:rPr>
                          <w:rFonts w:ascii="楷体_GB2312" w:eastAsia="楷体_GB2312" w:hint="eastAsia"/>
                          <w:sz w:val="24"/>
                          <w:szCs w:val="24"/>
                        </w:rPr>
                        <w:t>，构建</w:t>
                      </w:r>
                      <w:proofErr w:type="gramStart"/>
                      <w:r>
                        <w:rPr>
                          <w:rFonts w:ascii="楷体_GB2312" w:eastAsia="楷体_GB2312" w:hint="eastAsia"/>
                          <w:sz w:val="24"/>
                          <w:szCs w:val="24"/>
                        </w:rPr>
                        <w:t>买入</w:t>
                      </w:r>
                      <w:r>
                        <w:rPr>
                          <w:rFonts w:ascii="楷体_GB2312" w:eastAsia="楷体_GB2312" w:hint="eastAsia"/>
                          <w:sz w:val="24"/>
                          <w:szCs w:val="24"/>
                        </w:rPr>
                        <w:t>宽跨式</w:t>
                      </w:r>
                      <w:proofErr w:type="gramEnd"/>
                      <w:r>
                        <w:rPr>
                          <w:rFonts w:ascii="楷体_GB2312" w:eastAsia="楷体_GB2312" w:hint="eastAsia"/>
                          <w:sz w:val="24"/>
                          <w:szCs w:val="24"/>
                        </w:rPr>
                        <w:t>策略</w:t>
                      </w:r>
                      <w:r w:rsidRPr="00D76592">
                        <w:rPr>
                          <w:rFonts w:ascii="楷体_GB2312" w:eastAsia="楷体_GB2312" w:hint="eastAsia"/>
                          <w:sz w:val="24"/>
                          <w:szCs w:val="24"/>
                        </w:rPr>
                        <w:t>。</w:t>
                      </w:r>
                    </w:p>
                    <w:p w14:paraId="137CC118" w14:textId="77777777" w:rsidR="006E090B" w:rsidRPr="00C9550B" w:rsidRDefault="006E090B" w:rsidP="006E090B">
                      <w:pPr>
                        <w:spacing w:line="400" w:lineRule="exact"/>
                        <w:ind w:firstLineChars="200" w:firstLine="480"/>
                        <w:rPr>
                          <w:rFonts w:ascii="楷体_GB2312" w:eastAsia="楷体_GB2312"/>
                          <w:sz w:val="24"/>
                          <w:szCs w:val="24"/>
                        </w:rPr>
                      </w:pPr>
                    </w:p>
                    <w:p w14:paraId="689F485C" w14:textId="77777777" w:rsidR="005263BA" w:rsidRPr="00F76DCB" w:rsidRDefault="005263B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2352E28A" w14:textId="77777777" w:rsidR="009C4236" w:rsidRPr="00B650B3" w:rsidRDefault="009C4236" w:rsidP="009C423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761B35">
                        <w:rPr>
                          <w:rFonts w:ascii="楷体_GB2312" w:eastAsia="楷体_GB2312" w:hAnsi="楷体" w:hint="eastAsia"/>
                          <w:sz w:val="24"/>
                        </w:rPr>
                        <w:t>国庆假期期间美盘原糖大幅上涨，且此次价格高点已经高于上次反弹的高点。假期期间巴西货币雷亚尔大幅上涨，巴西大选带动货币走强。原油价格再创新高，能源价格的走强间接利多糖价。另一方面印度的出口补贴已经公布，但当下对贸易流冲击有限，仍需要给出合适的价格，这也导致低位的原糖价格下跌动力不足，印度四季度出口有限。中期的利多或是给糖价有支撑的因素，巴西和欧洲的</w:t>
                      </w:r>
                      <w:proofErr w:type="gramStart"/>
                      <w:r w:rsidRPr="00761B35">
                        <w:rPr>
                          <w:rFonts w:ascii="楷体_GB2312" w:eastAsia="楷体_GB2312" w:hAnsi="楷体" w:hint="eastAsia"/>
                          <w:sz w:val="24"/>
                        </w:rPr>
                        <w:t>减产仍</w:t>
                      </w:r>
                      <w:proofErr w:type="gramEnd"/>
                      <w:r w:rsidRPr="00761B35">
                        <w:rPr>
                          <w:rFonts w:ascii="楷体_GB2312" w:eastAsia="楷体_GB2312" w:hAnsi="楷体" w:hint="eastAsia"/>
                          <w:sz w:val="24"/>
                        </w:rPr>
                        <w:t>对价格有支撑，但长期利空担忧仍在。假期期间国内休市，北方甜菜糖开榨，但是有消息传出，甜菜含糖率低于预期，或导致甜菜糖增产不及预期，另外榨季初甜菜更倾向于生产绵白糖，对于盘</w:t>
                      </w:r>
                      <w:proofErr w:type="gramStart"/>
                      <w:r w:rsidRPr="00761B35">
                        <w:rPr>
                          <w:rFonts w:ascii="楷体_GB2312" w:eastAsia="楷体_GB2312" w:hAnsi="楷体" w:hint="eastAsia"/>
                          <w:sz w:val="24"/>
                        </w:rPr>
                        <w:t>面冲击</w:t>
                      </w:r>
                      <w:proofErr w:type="gramEnd"/>
                      <w:r w:rsidRPr="00761B35">
                        <w:rPr>
                          <w:rFonts w:ascii="楷体_GB2312" w:eastAsia="楷体_GB2312" w:hAnsi="楷体" w:hint="eastAsia"/>
                          <w:sz w:val="24"/>
                        </w:rPr>
                        <w:t>有所减弱。再加上外盘大幅上涨，因此</w:t>
                      </w:r>
                      <w:proofErr w:type="gramStart"/>
                      <w:r w:rsidRPr="00761B35">
                        <w:rPr>
                          <w:rFonts w:ascii="楷体_GB2312" w:eastAsia="楷体_GB2312" w:hAnsi="楷体" w:hint="eastAsia"/>
                          <w:sz w:val="24"/>
                        </w:rPr>
                        <w:t>国内郑糖</w:t>
                      </w:r>
                      <w:proofErr w:type="gramEnd"/>
                      <w:r w:rsidRPr="00761B35">
                        <w:rPr>
                          <w:rFonts w:ascii="楷体_GB2312" w:eastAsia="楷体_GB2312" w:hAnsi="楷体" w:hint="eastAsia"/>
                          <w:sz w:val="24"/>
                        </w:rPr>
                        <w:t>短期或延续反弹走势，反弹高点或高于上次，</w:t>
                      </w:r>
                      <w:proofErr w:type="gramStart"/>
                      <w:r w:rsidRPr="00761B35">
                        <w:rPr>
                          <w:rFonts w:ascii="楷体_GB2312" w:eastAsia="楷体_GB2312" w:hAnsi="楷体" w:hint="eastAsia"/>
                          <w:sz w:val="24"/>
                        </w:rPr>
                        <w:t>郑糖短线</w:t>
                      </w:r>
                      <w:proofErr w:type="gramEnd"/>
                      <w:r w:rsidRPr="00761B35">
                        <w:rPr>
                          <w:rFonts w:ascii="楷体_GB2312" w:eastAsia="楷体_GB2312" w:hAnsi="楷体" w:hint="eastAsia"/>
                          <w:sz w:val="24"/>
                        </w:rPr>
                        <w:t>偏多，中期</w:t>
                      </w:r>
                      <w:r>
                        <w:rPr>
                          <w:rFonts w:ascii="楷体_GB2312" w:eastAsia="楷体_GB2312" w:hAnsi="楷体" w:hint="eastAsia"/>
                          <w:sz w:val="24"/>
                        </w:rPr>
                        <w:t>仍偏弱</w:t>
                      </w:r>
                      <w:r w:rsidRPr="00761B35">
                        <w:rPr>
                          <w:rFonts w:ascii="楷体_GB2312" w:eastAsia="楷体_GB2312" w:hAnsi="楷体" w:hint="eastAsia"/>
                          <w:sz w:val="24"/>
                        </w:rPr>
                        <w:t>。</w:t>
                      </w:r>
                    </w:p>
                    <w:p w14:paraId="3DC98FC4" w14:textId="77777777" w:rsidR="009C4236" w:rsidRPr="00B650B3" w:rsidRDefault="009C4236" w:rsidP="009C4236">
                      <w:pPr>
                        <w:spacing w:line="400" w:lineRule="exact"/>
                        <w:ind w:firstLineChars="200" w:firstLine="480"/>
                        <w:rPr>
                          <w:rFonts w:ascii="楷体_GB2312" w:eastAsia="楷体_GB2312" w:hAnsi="楷体"/>
                          <w:sz w:val="24"/>
                        </w:rPr>
                      </w:pPr>
                      <w:r w:rsidRPr="00ED3DD7">
                        <w:rPr>
                          <w:rFonts w:ascii="楷体_GB2312" w:eastAsia="楷体_GB2312" w:hAnsi="楷体" w:hint="eastAsia"/>
                          <w:sz w:val="24"/>
                        </w:rPr>
                        <w:t>期权方面，</w:t>
                      </w:r>
                      <w:r w:rsidRPr="00B650B3">
                        <w:rPr>
                          <w:rFonts w:ascii="楷体_GB2312" w:eastAsia="楷体_GB2312" w:hAnsi="楷体" w:hint="eastAsia"/>
                          <w:sz w:val="24"/>
                        </w:rPr>
                        <w:t>截至9月28日白糖期权合约总持仓量26.47万张，一周平均日成交量4.13万张，交易活跃度一般。整周来看，白糖期权1901合约最大持仓量方面，看涨期权为行权价5400元/吨，看跌期权为行权价为4600元/吨，与上周保持一致。从PCR角度看，</w:t>
                      </w:r>
                      <w:r>
                        <w:rPr>
                          <w:rFonts w:ascii="楷体_GB2312" w:eastAsia="楷体_GB2312" w:hAnsi="楷体" w:hint="eastAsia"/>
                          <w:sz w:val="24"/>
                        </w:rPr>
                        <w:t>中长期</w:t>
                      </w:r>
                      <w:r w:rsidRPr="00B650B3">
                        <w:rPr>
                          <w:rFonts w:ascii="楷体_GB2312" w:eastAsia="楷体_GB2312" w:hAnsi="楷体" w:hint="eastAsia"/>
                          <w:sz w:val="24"/>
                        </w:rPr>
                        <w:t>内市场情绪</w:t>
                      </w:r>
                      <w:r>
                        <w:rPr>
                          <w:rFonts w:ascii="楷体_GB2312" w:eastAsia="楷体_GB2312" w:hAnsi="楷体" w:hint="eastAsia"/>
                          <w:sz w:val="24"/>
                        </w:rPr>
                        <w:t>仍偏</w:t>
                      </w:r>
                      <w:r w:rsidRPr="00B650B3">
                        <w:rPr>
                          <w:rFonts w:ascii="楷体_GB2312" w:eastAsia="楷体_GB2312" w:hAnsi="楷体" w:hint="eastAsia"/>
                          <w:sz w:val="24"/>
                        </w:rPr>
                        <w:t>悲观。</w:t>
                      </w:r>
                    </w:p>
                    <w:p w14:paraId="789D1E8D" w14:textId="77777777" w:rsidR="009C4236" w:rsidRPr="00B650B3" w:rsidRDefault="009C4236" w:rsidP="009C4236">
                      <w:pPr>
                        <w:spacing w:line="400" w:lineRule="exact"/>
                        <w:ind w:firstLineChars="200" w:firstLine="480"/>
                        <w:rPr>
                          <w:rFonts w:ascii="楷体_GB2312" w:eastAsia="楷体_GB2312" w:hAnsi="楷体"/>
                          <w:sz w:val="24"/>
                        </w:rPr>
                      </w:pPr>
                      <w:r>
                        <w:rPr>
                          <w:rFonts w:ascii="楷体_GB2312" w:eastAsia="楷体_GB2312" w:hAnsi="楷体" w:hint="eastAsia"/>
                          <w:sz w:val="24"/>
                        </w:rPr>
                        <w:t>从期权波动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w:t>
                      </w:r>
                      <w:r w:rsidRPr="00B650B3">
                        <w:rPr>
                          <w:rFonts w:ascii="楷体_GB2312" w:eastAsia="楷体_GB2312" w:hAnsi="楷体" w:hint="eastAsia"/>
                          <w:sz w:val="24"/>
                        </w:rPr>
                        <w:t>本周白糖主力合约1901合约平值隐含波动率保持震荡走势，周五由于假期因素导致有所上升，9月28日周五为17.32%。30天历史波动率持续走低，28号达到12.98%的新低。从白糖历史</w:t>
                      </w:r>
                      <w:proofErr w:type="gramStart"/>
                      <w:r w:rsidRPr="00B650B3">
                        <w:rPr>
                          <w:rFonts w:ascii="楷体_GB2312" w:eastAsia="楷体_GB2312" w:hAnsi="楷体" w:hint="eastAsia"/>
                          <w:sz w:val="24"/>
                        </w:rPr>
                        <w:t>波动率锥看</w:t>
                      </w:r>
                      <w:proofErr w:type="gramEnd"/>
                      <w:r w:rsidRPr="00B650B3">
                        <w:rPr>
                          <w:rFonts w:ascii="楷体_GB2312" w:eastAsia="楷体_GB2312" w:hAnsi="楷体" w:hint="eastAsia"/>
                          <w:sz w:val="24"/>
                        </w:rPr>
                        <w:t>，当前5、10、30日历史波动率均在中位数到四分之三分位数之间的位置，5日历史波动率与上周相比有大幅上升。</w:t>
                      </w:r>
                      <w:r w:rsidRPr="00AA5B7F">
                        <w:rPr>
                          <w:rFonts w:ascii="楷体_GB2312" w:eastAsia="楷体_GB2312" w:hAnsi="楷体" w:hint="eastAsia"/>
                          <w:sz w:val="24"/>
                        </w:rPr>
                        <w:t>整体来</w:t>
                      </w:r>
                      <w:r>
                        <w:rPr>
                          <w:rFonts w:ascii="楷体_GB2312" w:eastAsia="楷体_GB2312" w:hAnsi="楷体" w:hint="eastAsia"/>
                          <w:sz w:val="24"/>
                        </w:rPr>
                        <w:t>看，近期白糖期权历史波动率持续下降，隐含波动率也处于震荡趋势。</w:t>
                      </w:r>
                    </w:p>
                    <w:p w14:paraId="3EAA0AF2" w14:textId="77777777" w:rsidR="009C4236" w:rsidRPr="00764E33" w:rsidRDefault="009C4236" w:rsidP="009C423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w:t>
                      </w:r>
                      <w:proofErr w:type="gramStart"/>
                      <w:r>
                        <w:rPr>
                          <w:rFonts w:ascii="楷体_GB2312" w:eastAsia="楷体_GB2312" w:hAnsi="楷体" w:hint="eastAsia"/>
                          <w:sz w:val="24"/>
                        </w:rPr>
                        <w:t>国内郑糖</w:t>
                      </w:r>
                      <w:proofErr w:type="gramEnd"/>
                      <w:r>
                        <w:rPr>
                          <w:rFonts w:ascii="楷体_GB2312" w:eastAsia="楷体_GB2312" w:hAnsi="楷体" w:hint="eastAsia"/>
                          <w:sz w:val="24"/>
                        </w:rPr>
                        <w:t>短期或延续反弹走势，反弹高点或高于上次，</w:t>
                      </w:r>
                      <w:r w:rsidRPr="00761B35">
                        <w:rPr>
                          <w:rFonts w:ascii="楷体_GB2312" w:eastAsia="楷体_GB2312" w:hAnsi="楷体" w:hint="eastAsia"/>
                          <w:sz w:val="24"/>
                        </w:rPr>
                        <w:t>短线偏多</w:t>
                      </w:r>
                      <w:r>
                        <w:rPr>
                          <w:rFonts w:ascii="楷体_GB2312" w:eastAsia="楷体_GB2312" w:hAnsi="楷体" w:hint="eastAsia"/>
                          <w:sz w:val="24"/>
                        </w:rPr>
                        <w:t>，</w:t>
                      </w:r>
                      <w:r w:rsidRPr="007E680D">
                        <w:rPr>
                          <w:rFonts w:ascii="楷体_GB2312" w:eastAsia="楷体_GB2312" w:hAnsi="楷体" w:hint="eastAsia"/>
                          <w:sz w:val="24"/>
                        </w:rPr>
                        <w:t>建议投资者考虑</w:t>
                      </w:r>
                      <w:r>
                        <w:rPr>
                          <w:rFonts w:ascii="楷体_GB2312" w:eastAsia="楷体_GB2312" w:hAnsi="楷体" w:hint="eastAsia"/>
                          <w:sz w:val="24"/>
                        </w:rPr>
                        <w:t>构建牛市价差策略</w:t>
                      </w:r>
                      <w:r w:rsidRPr="007E680D">
                        <w:rPr>
                          <w:rFonts w:ascii="楷体_GB2312" w:eastAsia="楷体_GB2312" w:hAnsi="楷体" w:hint="eastAsia"/>
                          <w:sz w:val="24"/>
                        </w:rPr>
                        <w:t>。</w:t>
                      </w:r>
                    </w:p>
                    <w:p w14:paraId="2799B519" w14:textId="77777777" w:rsidR="00784CA4" w:rsidRPr="009C4236" w:rsidRDefault="00784CA4" w:rsidP="00784CA4">
                      <w:pPr>
                        <w:ind w:left="-899" w:rightChars="-416" w:right="-874"/>
                        <w:rPr>
                          <w:rFonts w:ascii="楷体" w:eastAsia="楷体" w:hAnsi="楷体"/>
                          <w:sz w:val="24"/>
                        </w:rPr>
                      </w:pPr>
                    </w:p>
                    <w:p w14:paraId="41A7EAE1" w14:textId="563A6B59" w:rsidR="005263BA" w:rsidRPr="00784CA4" w:rsidRDefault="005263BA" w:rsidP="00AB505D">
                      <w:pPr>
                        <w:spacing w:line="400" w:lineRule="exact"/>
                        <w:ind w:firstLineChars="200" w:firstLine="480"/>
                        <w:rPr>
                          <w:rFonts w:ascii="楷体_GB2312" w:eastAsia="楷体_GB2312"/>
                          <w:color w:val="FF0000"/>
                          <w:sz w:val="24"/>
                          <w:szCs w:val="24"/>
                        </w:rPr>
                      </w:pP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3CB4538B" w14:textId="15AA4172" w:rsidR="00F27B28" w:rsidRPr="00AE63D9" w:rsidRDefault="00375911" w:rsidP="00AE63D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681FA0DB" w14:textId="6E6B418B" w:rsidR="00AF60CE" w:rsidRDefault="00761B35" w:rsidP="00761B35">
      <w:pPr>
        <w:spacing w:line="400" w:lineRule="exact"/>
        <w:ind w:firstLineChars="200" w:firstLine="480"/>
        <w:rPr>
          <w:rFonts w:ascii="楷体_GB2312" w:eastAsia="楷体_GB2312" w:hint="eastAsia"/>
          <w:sz w:val="24"/>
          <w:szCs w:val="24"/>
        </w:rPr>
      </w:pPr>
      <w:r w:rsidRPr="00761B35">
        <w:rPr>
          <w:rFonts w:ascii="楷体_GB2312" w:eastAsia="楷体_GB2312" w:hint="eastAsia"/>
          <w:sz w:val="24"/>
          <w:szCs w:val="24"/>
        </w:rPr>
        <w:t>国庆长假</w:t>
      </w:r>
      <w:proofErr w:type="gramStart"/>
      <w:r w:rsidRPr="00761B35">
        <w:rPr>
          <w:rFonts w:ascii="楷体_GB2312" w:eastAsia="楷体_GB2312" w:hint="eastAsia"/>
          <w:sz w:val="24"/>
          <w:szCs w:val="24"/>
        </w:rPr>
        <w:t>期间美豆略涨</w:t>
      </w:r>
      <w:proofErr w:type="gramEnd"/>
      <w:r w:rsidRPr="00761B35">
        <w:rPr>
          <w:rFonts w:ascii="楷体_GB2312" w:eastAsia="楷体_GB2312" w:hint="eastAsia"/>
          <w:sz w:val="24"/>
          <w:szCs w:val="24"/>
        </w:rPr>
        <w:t>，11月合约收于869.2，较上周五上涨2.96%，长假期间</w:t>
      </w:r>
      <w:proofErr w:type="gramStart"/>
      <w:r w:rsidRPr="00761B35">
        <w:rPr>
          <w:rFonts w:ascii="楷体_GB2312" w:eastAsia="楷体_GB2312" w:hint="eastAsia"/>
          <w:sz w:val="24"/>
          <w:szCs w:val="24"/>
        </w:rPr>
        <w:t>美豆并</w:t>
      </w:r>
      <w:proofErr w:type="gramEnd"/>
      <w:r w:rsidRPr="00761B35">
        <w:rPr>
          <w:rFonts w:ascii="楷体_GB2312" w:eastAsia="楷体_GB2312" w:hint="eastAsia"/>
          <w:sz w:val="24"/>
          <w:szCs w:val="24"/>
        </w:rPr>
        <w:t>无实质性利好出现。截至9月1日，美国大豆当季库存为4.38亿蒲式耳，高于市场预估的4.01亿蒲式耳，及去年同期的3.02亿蒲式耳。消息面上，中国外交部宣布美国国务卿将于10月8日访华，双方将就中美关系及共同关心的国际和地区问题交换意见，可能会推动重</w:t>
      </w:r>
      <w:proofErr w:type="gramStart"/>
      <w:r w:rsidRPr="00761B35">
        <w:rPr>
          <w:rFonts w:ascii="楷体_GB2312" w:eastAsia="楷体_GB2312" w:hint="eastAsia"/>
          <w:sz w:val="24"/>
          <w:szCs w:val="24"/>
        </w:rPr>
        <w:t>启贸易</w:t>
      </w:r>
      <w:proofErr w:type="gramEnd"/>
      <w:r w:rsidRPr="00761B35">
        <w:rPr>
          <w:rFonts w:ascii="楷体_GB2312" w:eastAsia="楷体_GB2312" w:hint="eastAsia"/>
          <w:sz w:val="24"/>
          <w:szCs w:val="24"/>
        </w:rPr>
        <w:t>谈判。截至</w:t>
      </w:r>
      <w:proofErr w:type="gramStart"/>
      <w:r w:rsidRPr="00761B35">
        <w:rPr>
          <w:rFonts w:ascii="楷体_GB2312" w:eastAsia="楷体_GB2312" w:hint="eastAsia"/>
          <w:sz w:val="24"/>
          <w:szCs w:val="24"/>
        </w:rPr>
        <w:t>9月27日止当周</w:t>
      </w:r>
      <w:proofErr w:type="gramEnd"/>
      <w:r w:rsidRPr="00761B35">
        <w:rPr>
          <w:rFonts w:ascii="楷体_GB2312" w:eastAsia="楷体_GB2312" w:hint="eastAsia"/>
          <w:sz w:val="24"/>
          <w:szCs w:val="24"/>
        </w:rPr>
        <w:t>，美国18/19年度大豆出口销售净增152万吨，高出市场预估的90-150万吨区间，阿根廷及一些欧洲买家仍趁着低价进行采购。目前巴西主产区天气有利，巴西18/19年度大豆播种率为10%，高于去年同期及五年均值的5%。综合来看，</w:t>
      </w:r>
      <w:proofErr w:type="gramStart"/>
      <w:r w:rsidRPr="00761B35">
        <w:rPr>
          <w:rFonts w:ascii="楷体_GB2312" w:eastAsia="楷体_GB2312" w:hint="eastAsia"/>
          <w:sz w:val="24"/>
          <w:szCs w:val="24"/>
        </w:rPr>
        <w:t>美豆不</w:t>
      </w:r>
      <w:proofErr w:type="gramEnd"/>
      <w:r w:rsidRPr="00761B35">
        <w:rPr>
          <w:rFonts w:ascii="楷体_GB2312" w:eastAsia="楷体_GB2312" w:hint="eastAsia"/>
          <w:sz w:val="24"/>
          <w:szCs w:val="24"/>
        </w:rPr>
        <w:t>具备持续上涨动力，近期出口销售虽有所增加，但不足以消化中国买家撤出后的巨大结余。在贸易战持续的背景下，</w:t>
      </w:r>
      <w:proofErr w:type="gramStart"/>
      <w:r w:rsidRPr="00761B35">
        <w:rPr>
          <w:rFonts w:ascii="楷体_GB2312" w:eastAsia="楷体_GB2312" w:hint="eastAsia"/>
          <w:sz w:val="24"/>
          <w:szCs w:val="24"/>
        </w:rPr>
        <w:t>美豆和</w:t>
      </w:r>
      <w:proofErr w:type="gramEnd"/>
      <w:r w:rsidRPr="00761B35">
        <w:rPr>
          <w:rFonts w:ascii="楷体_GB2312" w:eastAsia="楷体_GB2312" w:hint="eastAsia"/>
          <w:sz w:val="24"/>
          <w:szCs w:val="24"/>
        </w:rPr>
        <w:t>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的走势无明显相关性，对于国内市场而言，基本上是对于</w:t>
      </w:r>
      <w:proofErr w:type="gramStart"/>
      <w:r w:rsidRPr="00761B35">
        <w:rPr>
          <w:rFonts w:ascii="楷体_GB2312" w:eastAsia="楷体_GB2312" w:hint="eastAsia"/>
          <w:sz w:val="24"/>
          <w:szCs w:val="24"/>
        </w:rPr>
        <w:t>未来缺豆的</w:t>
      </w:r>
      <w:proofErr w:type="gramEnd"/>
      <w:r w:rsidRPr="00761B35">
        <w:rPr>
          <w:rFonts w:ascii="楷体_GB2312" w:eastAsia="楷体_GB2312" w:hint="eastAsia"/>
          <w:sz w:val="24"/>
          <w:szCs w:val="24"/>
        </w:rPr>
        <w:t>一致预期，</w:t>
      </w:r>
      <w:proofErr w:type="gramStart"/>
      <w:r w:rsidRPr="00761B35">
        <w:rPr>
          <w:rFonts w:ascii="楷体_GB2312" w:eastAsia="楷体_GB2312" w:hint="eastAsia"/>
          <w:sz w:val="24"/>
          <w:szCs w:val="24"/>
        </w:rPr>
        <w:t>若政策</w:t>
      </w:r>
      <w:proofErr w:type="gramEnd"/>
      <w:r w:rsidRPr="00761B35">
        <w:rPr>
          <w:rFonts w:ascii="楷体_GB2312" w:eastAsia="楷体_GB2312" w:hint="eastAsia"/>
          <w:sz w:val="24"/>
          <w:szCs w:val="24"/>
        </w:rPr>
        <w:t>面出现缓解迹象，连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将出现</w:t>
      </w:r>
      <w:bookmarkStart w:id="0" w:name="_GoBack"/>
      <w:bookmarkEnd w:id="0"/>
      <w:r w:rsidRPr="00761B35">
        <w:rPr>
          <w:rFonts w:ascii="楷体_GB2312" w:eastAsia="楷体_GB2312" w:hint="eastAsia"/>
          <w:sz w:val="24"/>
          <w:szCs w:val="24"/>
        </w:rPr>
        <w:t>大幅波动，在政策面无明显异动的情况下，连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将继续强势表现，长假期间美国仍不断向我国“开炮”，中美双方似乎很难在短期内达成一致，因此我们认为即便是政策面有松动迹象，也是多头再次上车的机会。</w:t>
      </w:r>
    </w:p>
    <w:p w14:paraId="23BE572D" w14:textId="77777777" w:rsidR="00761B35" w:rsidRPr="00AF60CE" w:rsidRDefault="00761B35" w:rsidP="00761B35">
      <w:pPr>
        <w:spacing w:line="400" w:lineRule="exact"/>
        <w:ind w:firstLineChars="200" w:firstLine="480"/>
        <w:rPr>
          <w:rFonts w:ascii="楷体_GB2312" w:eastAsia="楷体_GB2312"/>
          <w:sz w:val="24"/>
          <w:szCs w:val="24"/>
        </w:rPr>
      </w:pP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4A1542DC" w:rsidR="00306D05" w:rsidRPr="00011C2C" w:rsidRDefault="00456184" w:rsidP="00246A9D">
      <w:pPr>
        <w:spacing w:line="400" w:lineRule="exact"/>
        <w:ind w:firstLineChars="200" w:firstLine="480"/>
        <w:rPr>
          <w:rFonts w:ascii="楷体_GB2312" w:eastAsia="楷体_GB2312"/>
          <w:sz w:val="24"/>
          <w:szCs w:val="24"/>
        </w:rPr>
      </w:pPr>
      <w:r w:rsidRPr="00011C2C">
        <w:rPr>
          <w:rFonts w:ascii="楷体_GB2312" w:eastAsia="楷体_GB2312" w:hint="eastAsia"/>
          <w:sz w:val="24"/>
          <w:szCs w:val="24"/>
        </w:rPr>
        <w:t>截至</w:t>
      </w:r>
      <w:r w:rsidR="0074490B" w:rsidRPr="00011C2C">
        <w:rPr>
          <w:rFonts w:ascii="楷体_GB2312" w:eastAsia="楷体_GB2312" w:hint="eastAsia"/>
          <w:sz w:val="24"/>
          <w:szCs w:val="24"/>
        </w:rPr>
        <w:t>2018年9</w:t>
      </w:r>
      <w:r w:rsidRPr="00011C2C">
        <w:rPr>
          <w:rFonts w:ascii="楷体_GB2312" w:eastAsia="楷体_GB2312" w:hint="eastAsia"/>
          <w:sz w:val="24"/>
          <w:szCs w:val="24"/>
        </w:rPr>
        <w:t>月</w:t>
      </w:r>
      <w:r w:rsidR="006A6AE7">
        <w:rPr>
          <w:rFonts w:ascii="楷体_GB2312" w:eastAsia="楷体_GB2312" w:hint="eastAsia"/>
          <w:sz w:val="24"/>
          <w:szCs w:val="24"/>
        </w:rPr>
        <w:t>28</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w:t>
      </w:r>
      <w:r w:rsidR="00975783">
        <w:rPr>
          <w:rFonts w:ascii="楷体_GB2312" w:eastAsia="楷体_GB2312" w:hint="eastAsia"/>
          <w:sz w:val="24"/>
          <w:szCs w:val="24"/>
        </w:rPr>
        <w:t>5</w:t>
      </w:r>
      <w:r w:rsidR="00761B35">
        <w:rPr>
          <w:rFonts w:ascii="楷体_GB2312" w:eastAsia="楷体_GB2312" w:hint="eastAsia"/>
          <w:sz w:val="24"/>
          <w:szCs w:val="24"/>
        </w:rPr>
        <w:t>1.91</w:t>
      </w:r>
      <w:r w:rsidRPr="00011C2C">
        <w:rPr>
          <w:rFonts w:ascii="楷体_GB2312" w:eastAsia="楷体_GB2312" w:hint="eastAsia"/>
          <w:sz w:val="24"/>
          <w:szCs w:val="24"/>
        </w:rPr>
        <w:t>万张</w:t>
      </w:r>
      <w:r w:rsidR="00B30C7F" w:rsidRPr="00011C2C">
        <w:rPr>
          <w:rFonts w:ascii="楷体_GB2312" w:eastAsia="楷体_GB2312" w:hint="eastAsia"/>
          <w:sz w:val="24"/>
          <w:szCs w:val="24"/>
        </w:rPr>
        <w:t>，稳步上升</w:t>
      </w:r>
      <w:r w:rsidRPr="00011C2C">
        <w:rPr>
          <w:rFonts w:ascii="楷体_GB2312" w:eastAsia="楷体_GB2312" w:hint="eastAsia"/>
          <w:sz w:val="24"/>
          <w:szCs w:val="24"/>
        </w:rPr>
        <w:t>。</w:t>
      </w:r>
      <w:r w:rsidR="00383733" w:rsidRPr="00011C2C">
        <w:rPr>
          <w:rFonts w:ascii="楷体_GB2312" w:eastAsia="楷体_GB2312" w:hint="eastAsia"/>
          <w:sz w:val="24"/>
          <w:szCs w:val="24"/>
        </w:rPr>
        <w:t>本周</w:t>
      </w:r>
      <w:r w:rsidR="00857C94" w:rsidRPr="00011C2C">
        <w:rPr>
          <w:rFonts w:ascii="楷体_GB2312" w:eastAsia="楷体_GB2312" w:hint="eastAsia"/>
          <w:sz w:val="24"/>
          <w:szCs w:val="24"/>
        </w:rPr>
        <w:t>豆</w:t>
      </w:r>
      <w:proofErr w:type="gramStart"/>
      <w:r w:rsidR="00857C94" w:rsidRPr="00011C2C">
        <w:rPr>
          <w:rFonts w:ascii="楷体_GB2312" w:eastAsia="楷体_GB2312" w:hint="eastAsia"/>
          <w:sz w:val="24"/>
          <w:szCs w:val="24"/>
        </w:rPr>
        <w:t>粕期权</w:t>
      </w:r>
      <w:r w:rsidR="00B30C7F" w:rsidRPr="00011C2C">
        <w:rPr>
          <w:rFonts w:ascii="楷体_GB2312" w:eastAsia="楷体_GB2312" w:hint="eastAsia"/>
          <w:sz w:val="24"/>
          <w:szCs w:val="24"/>
        </w:rPr>
        <w:t>总</w:t>
      </w:r>
      <w:proofErr w:type="gramEnd"/>
      <w:r w:rsidR="00857C94" w:rsidRPr="00011C2C">
        <w:rPr>
          <w:rFonts w:ascii="楷体_GB2312" w:eastAsia="楷体_GB2312" w:hint="eastAsia"/>
          <w:sz w:val="24"/>
          <w:szCs w:val="24"/>
        </w:rPr>
        <w:t>成交量</w:t>
      </w:r>
      <w:r w:rsidR="00B30C7F" w:rsidRPr="00011C2C">
        <w:rPr>
          <w:rFonts w:ascii="楷体_GB2312" w:eastAsia="楷体_GB2312" w:hint="eastAsia"/>
          <w:sz w:val="24"/>
          <w:szCs w:val="24"/>
        </w:rPr>
        <w:t>较上周</w:t>
      </w:r>
      <w:r w:rsidR="00761B35">
        <w:rPr>
          <w:rFonts w:ascii="楷体_GB2312" w:eastAsia="楷体_GB2312" w:hint="eastAsia"/>
          <w:sz w:val="24"/>
          <w:szCs w:val="24"/>
        </w:rPr>
        <w:t>大幅上升</w:t>
      </w:r>
      <w:r w:rsidR="007E140F" w:rsidRPr="00011C2C">
        <w:rPr>
          <w:rFonts w:ascii="楷体_GB2312" w:eastAsia="楷体_GB2312" w:hint="eastAsia"/>
          <w:sz w:val="24"/>
          <w:szCs w:val="24"/>
        </w:rPr>
        <w:t>，</w:t>
      </w:r>
      <w:r w:rsidR="00E7093E" w:rsidRPr="00011C2C">
        <w:rPr>
          <w:rFonts w:ascii="楷体_GB2312" w:eastAsia="楷体_GB2312" w:hint="eastAsia"/>
          <w:sz w:val="24"/>
          <w:szCs w:val="24"/>
        </w:rPr>
        <w:t>平均</w:t>
      </w:r>
      <w:r w:rsidR="004F6E73" w:rsidRPr="00011C2C">
        <w:rPr>
          <w:rFonts w:ascii="楷体_GB2312" w:eastAsia="楷体_GB2312" w:hint="eastAsia"/>
          <w:sz w:val="24"/>
          <w:szCs w:val="24"/>
        </w:rPr>
        <w:t>日成交</w:t>
      </w:r>
      <w:r w:rsidR="00915384" w:rsidRPr="00011C2C">
        <w:rPr>
          <w:rFonts w:ascii="楷体_GB2312" w:eastAsia="楷体_GB2312" w:hint="eastAsia"/>
          <w:sz w:val="24"/>
          <w:szCs w:val="24"/>
        </w:rPr>
        <w:t>量</w:t>
      </w:r>
      <w:r w:rsidR="00761B35">
        <w:rPr>
          <w:rFonts w:ascii="楷体_GB2312" w:eastAsia="楷体_GB2312" w:hint="eastAsia"/>
          <w:sz w:val="24"/>
          <w:szCs w:val="24"/>
        </w:rPr>
        <w:t>17</w:t>
      </w:r>
      <w:r w:rsidR="004F6E73" w:rsidRPr="00011C2C">
        <w:rPr>
          <w:rFonts w:ascii="楷体_GB2312" w:eastAsia="楷体_GB2312" w:hint="eastAsia"/>
          <w:sz w:val="24"/>
          <w:szCs w:val="24"/>
        </w:rPr>
        <w:t>万张</w:t>
      </w:r>
      <w:r w:rsidR="00761B35">
        <w:rPr>
          <w:rFonts w:ascii="楷体_GB2312" w:eastAsia="楷体_GB2312" w:hint="eastAsia"/>
          <w:sz w:val="24"/>
          <w:szCs w:val="24"/>
        </w:rPr>
        <w:t>（双边）</w:t>
      </w:r>
      <w:r w:rsidR="00DB6143">
        <w:rPr>
          <w:rFonts w:ascii="楷体_GB2312" w:eastAsia="楷体_GB2312" w:hint="eastAsia"/>
          <w:sz w:val="24"/>
          <w:szCs w:val="24"/>
        </w:rPr>
        <w:t>，较上周</w:t>
      </w:r>
      <w:r w:rsidR="003A66F9">
        <w:rPr>
          <w:rFonts w:ascii="楷体_GB2312" w:eastAsia="楷体_GB2312" w:hint="eastAsia"/>
          <w:sz w:val="24"/>
          <w:szCs w:val="24"/>
        </w:rPr>
        <w:t>上升72</w:t>
      </w:r>
      <w:r w:rsidR="00DB6143">
        <w:rPr>
          <w:rFonts w:ascii="楷体_GB2312" w:eastAsia="楷体_GB2312" w:hint="eastAsia"/>
          <w:sz w:val="24"/>
          <w:szCs w:val="24"/>
        </w:rPr>
        <w:t>%</w:t>
      </w:r>
      <w:r w:rsidR="004F6E73" w:rsidRPr="00011C2C">
        <w:rPr>
          <w:rFonts w:ascii="楷体_GB2312" w:eastAsia="楷体_GB2312" w:hint="eastAsia"/>
          <w:sz w:val="24"/>
          <w:szCs w:val="24"/>
        </w:rPr>
        <w:t>。</w:t>
      </w:r>
      <w:r w:rsidR="007E140F" w:rsidRPr="00011C2C">
        <w:rPr>
          <w:rFonts w:ascii="楷体_GB2312" w:eastAsia="楷体_GB2312" w:hint="eastAsia"/>
          <w:sz w:val="24"/>
          <w:szCs w:val="24"/>
        </w:rPr>
        <w:t>目前</w:t>
      </w:r>
      <w:r w:rsidR="00857C94" w:rsidRPr="00011C2C">
        <w:rPr>
          <w:rFonts w:ascii="楷体_GB2312" w:eastAsia="楷体_GB2312" w:hint="eastAsia"/>
          <w:sz w:val="24"/>
          <w:szCs w:val="24"/>
        </w:rPr>
        <w:t>主力1901合约看涨期权持仓量</w:t>
      </w:r>
      <w:r w:rsidR="00002F60" w:rsidRPr="00011C2C">
        <w:rPr>
          <w:rFonts w:ascii="楷体_GB2312" w:eastAsia="楷体_GB2312" w:hint="eastAsia"/>
          <w:sz w:val="24"/>
          <w:szCs w:val="24"/>
        </w:rPr>
        <w:t>集中在</w:t>
      </w:r>
      <w:r w:rsidR="006F7F51" w:rsidRPr="00011C2C">
        <w:rPr>
          <w:rFonts w:ascii="楷体_GB2312" w:eastAsia="楷体_GB2312" w:hint="eastAsia"/>
          <w:sz w:val="24"/>
          <w:szCs w:val="24"/>
        </w:rPr>
        <w:t>3</w:t>
      </w:r>
      <w:r w:rsidR="00975783">
        <w:rPr>
          <w:rFonts w:ascii="楷体_GB2312" w:eastAsia="楷体_GB2312" w:hint="eastAsia"/>
          <w:sz w:val="24"/>
          <w:szCs w:val="24"/>
        </w:rPr>
        <w:t>650</w:t>
      </w:r>
      <w:r w:rsidR="00857C94" w:rsidRPr="00011C2C">
        <w:rPr>
          <w:rFonts w:ascii="楷体_GB2312" w:eastAsia="楷体_GB2312" w:hint="eastAsia"/>
          <w:sz w:val="24"/>
          <w:szCs w:val="24"/>
        </w:rPr>
        <w:t>元/</w:t>
      </w:r>
      <w:proofErr w:type="gramStart"/>
      <w:r w:rsidR="00857C94" w:rsidRPr="00011C2C">
        <w:rPr>
          <w:rFonts w:ascii="楷体_GB2312" w:eastAsia="楷体_GB2312" w:hint="eastAsia"/>
          <w:sz w:val="24"/>
          <w:szCs w:val="24"/>
        </w:rPr>
        <w:t>吨价格</w:t>
      </w:r>
      <w:proofErr w:type="gramEnd"/>
      <w:r w:rsidR="00857C94" w:rsidRPr="00011C2C">
        <w:rPr>
          <w:rFonts w:ascii="楷体_GB2312" w:eastAsia="楷体_GB2312" w:hint="eastAsia"/>
          <w:sz w:val="24"/>
          <w:szCs w:val="24"/>
        </w:rPr>
        <w:t>位置</w:t>
      </w:r>
      <w:r w:rsidR="00447CB1" w:rsidRPr="00011C2C">
        <w:rPr>
          <w:rFonts w:ascii="楷体_GB2312" w:eastAsia="楷体_GB2312" w:hint="eastAsia"/>
          <w:sz w:val="24"/>
          <w:szCs w:val="24"/>
        </w:rPr>
        <w:t>，</w:t>
      </w:r>
      <w:r w:rsidR="00857C94" w:rsidRPr="00011C2C">
        <w:rPr>
          <w:rFonts w:ascii="楷体_GB2312" w:eastAsia="楷体_GB2312" w:hint="eastAsia"/>
          <w:sz w:val="24"/>
          <w:szCs w:val="24"/>
        </w:rPr>
        <w:t>而看跌期权最大持仓量在</w:t>
      </w:r>
      <w:r w:rsidR="003A66F9">
        <w:rPr>
          <w:rFonts w:ascii="楷体_GB2312" w:eastAsia="楷体_GB2312" w:hint="eastAsia"/>
          <w:sz w:val="24"/>
          <w:szCs w:val="24"/>
        </w:rPr>
        <w:t>30</w:t>
      </w:r>
      <w:r w:rsidR="00857C94" w:rsidRPr="00011C2C">
        <w:rPr>
          <w:rFonts w:ascii="楷体_GB2312" w:eastAsia="楷体_GB2312" w:hint="eastAsia"/>
          <w:sz w:val="24"/>
          <w:szCs w:val="24"/>
        </w:rPr>
        <w:t>00</w:t>
      </w:r>
      <w:r w:rsidR="003A66F9">
        <w:rPr>
          <w:rFonts w:ascii="楷体_GB2312" w:eastAsia="楷体_GB2312" w:hint="eastAsia"/>
          <w:sz w:val="24"/>
          <w:szCs w:val="24"/>
        </w:rPr>
        <w:t>-3100</w:t>
      </w:r>
      <w:r w:rsidR="006F7F51" w:rsidRPr="00011C2C">
        <w:rPr>
          <w:rFonts w:ascii="楷体_GB2312" w:eastAsia="楷体_GB2312" w:hint="eastAsia"/>
          <w:sz w:val="24"/>
          <w:szCs w:val="24"/>
        </w:rPr>
        <w:t>元/吨的</w:t>
      </w:r>
      <w:r w:rsidR="00857C94" w:rsidRPr="00011C2C">
        <w:rPr>
          <w:rFonts w:ascii="楷体_GB2312" w:eastAsia="楷体_GB2312" w:hint="eastAsia"/>
          <w:sz w:val="24"/>
          <w:szCs w:val="24"/>
        </w:rPr>
        <w:t>支撑位</w:t>
      </w:r>
      <w:r w:rsidR="00002F60" w:rsidRPr="00011C2C">
        <w:rPr>
          <w:rFonts w:ascii="楷体_GB2312" w:eastAsia="楷体_GB2312" w:hint="eastAsia"/>
          <w:sz w:val="24"/>
          <w:szCs w:val="24"/>
        </w:rPr>
        <w:t>，目前市场支撑位和压力位</w:t>
      </w:r>
      <w:r w:rsidR="00975783">
        <w:rPr>
          <w:rFonts w:ascii="楷体_GB2312" w:eastAsia="楷体_GB2312" w:hint="eastAsia"/>
          <w:sz w:val="24"/>
          <w:szCs w:val="24"/>
        </w:rPr>
        <w:t>重心有所上升</w:t>
      </w:r>
      <w:r w:rsidR="00857C94" w:rsidRPr="00011C2C">
        <w:rPr>
          <w:rFonts w:ascii="楷体_GB2312" w:eastAsia="楷体_GB2312" w:hint="eastAsia"/>
          <w:sz w:val="24"/>
          <w:szCs w:val="24"/>
        </w:rPr>
        <w:t>。</w:t>
      </w:r>
    </w:p>
    <w:p w14:paraId="255A4A4B" w14:textId="7429436E" w:rsidR="00356C5B" w:rsidRPr="00011C2C" w:rsidRDefault="00D63855" w:rsidP="00C64D82">
      <w:pPr>
        <w:spacing w:line="400" w:lineRule="exact"/>
        <w:ind w:firstLineChars="200" w:firstLine="480"/>
        <w:rPr>
          <w:rFonts w:ascii="楷体_GB2312" w:eastAsia="楷体_GB2312"/>
          <w:sz w:val="24"/>
          <w:szCs w:val="24"/>
        </w:rPr>
      </w:pPr>
      <w:r w:rsidRPr="00011C2C">
        <w:rPr>
          <w:rFonts w:ascii="楷体_GB2312" w:eastAsia="楷体_GB2312" w:hint="eastAsia"/>
          <w:sz w:val="24"/>
          <w:szCs w:val="24"/>
        </w:rPr>
        <w:t>成交量</w:t>
      </w:r>
      <w:r w:rsidR="00543B2A" w:rsidRPr="00011C2C">
        <w:rPr>
          <w:rFonts w:ascii="楷体_GB2312" w:eastAsia="楷体_GB2312" w:hint="eastAsia"/>
          <w:sz w:val="24"/>
          <w:szCs w:val="24"/>
        </w:rPr>
        <w:t>PCR（Put-Call Ratio）指标即看跌期权</w:t>
      </w:r>
      <w:r w:rsidRPr="00011C2C">
        <w:rPr>
          <w:rFonts w:ascii="楷体_GB2312" w:eastAsia="楷体_GB2312" w:hint="eastAsia"/>
          <w:sz w:val="24"/>
          <w:szCs w:val="24"/>
        </w:rPr>
        <w:t>与看涨期权成交量比率是期权对市场投资者有力的反应指标。</w:t>
      </w:r>
      <w:r w:rsidR="00306D05" w:rsidRPr="00011C2C">
        <w:rPr>
          <w:rFonts w:ascii="楷体_GB2312" w:eastAsia="楷体_GB2312" w:hint="eastAsia"/>
          <w:sz w:val="24"/>
          <w:szCs w:val="24"/>
        </w:rPr>
        <w:t>从盘面来看</w:t>
      </w:r>
      <w:r w:rsidRPr="00011C2C">
        <w:rPr>
          <w:rFonts w:ascii="楷体_GB2312" w:eastAsia="楷体_GB2312" w:hint="eastAsia"/>
          <w:sz w:val="24"/>
          <w:szCs w:val="24"/>
        </w:rPr>
        <w:t>，</w:t>
      </w:r>
      <w:r w:rsidR="003A5AF9" w:rsidRPr="00011C2C">
        <w:rPr>
          <w:rFonts w:ascii="楷体_GB2312" w:eastAsia="楷体_GB2312" w:hint="eastAsia"/>
          <w:sz w:val="24"/>
          <w:szCs w:val="24"/>
        </w:rPr>
        <w:t>9月</w:t>
      </w:r>
      <w:r w:rsidR="003A5AF9">
        <w:rPr>
          <w:rFonts w:ascii="楷体_GB2312" w:eastAsia="楷体_GB2312" w:hint="eastAsia"/>
          <w:sz w:val="24"/>
          <w:szCs w:val="24"/>
        </w:rPr>
        <w:t>2</w:t>
      </w:r>
      <w:r w:rsidR="003A66F9">
        <w:rPr>
          <w:rFonts w:ascii="楷体_GB2312" w:eastAsia="楷体_GB2312" w:hint="eastAsia"/>
          <w:sz w:val="24"/>
          <w:szCs w:val="24"/>
        </w:rPr>
        <w:t>5</w:t>
      </w:r>
      <w:r w:rsidR="003A5AF9" w:rsidRPr="00011C2C">
        <w:rPr>
          <w:rFonts w:ascii="楷体_GB2312" w:eastAsia="楷体_GB2312" w:hint="eastAsia"/>
          <w:sz w:val="24"/>
          <w:szCs w:val="24"/>
        </w:rPr>
        <w:t>日</w:t>
      </w:r>
      <w:r w:rsidR="003A5AF9">
        <w:rPr>
          <w:rFonts w:ascii="楷体_GB2312" w:eastAsia="楷体_GB2312" w:hint="eastAsia"/>
          <w:sz w:val="24"/>
          <w:szCs w:val="24"/>
        </w:rPr>
        <w:t>周五</w:t>
      </w:r>
      <w:r w:rsidR="00306D05" w:rsidRPr="00011C2C">
        <w:rPr>
          <w:rFonts w:ascii="楷体_GB2312" w:eastAsia="楷体_GB2312" w:hint="eastAsia"/>
          <w:sz w:val="24"/>
          <w:szCs w:val="24"/>
        </w:rPr>
        <w:t>豆</w:t>
      </w:r>
      <w:proofErr w:type="gramStart"/>
      <w:r w:rsidR="00306D05" w:rsidRPr="00011C2C">
        <w:rPr>
          <w:rFonts w:ascii="楷体_GB2312" w:eastAsia="楷体_GB2312" w:hint="eastAsia"/>
          <w:sz w:val="24"/>
          <w:szCs w:val="24"/>
        </w:rPr>
        <w:t>粕</w:t>
      </w:r>
      <w:proofErr w:type="gramEnd"/>
      <w:r w:rsidR="00306D05" w:rsidRPr="00011C2C">
        <w:rPr>
          <w:rFonts w:ascii="楷体_GB2312" w:eastAsia="楷体_GB2312" w:hint="eastAsia"/>
          <w:sz w:val="24"/>
          <w:szCs w:val="24"/>
        </w:rPr>
        <w:t>合约期权</w:t>
      </w:r>
      <w:r w:rsidR="003F7202" w:rsidRPr="00011C2C">
        <w:rPr>
          <w:rFonts w:ascii="楷体_GB2312" w:eastAsia="楷体_GB2312" w:hint="eastAsia"/>
          <w:sz w:val="24"/>
          <w:szCs w:val="24"/>
        </w:rPr>
        <w:t>成交量</w:t>
      </w:r>
      <w:r w:rsidR="002A3578" w:rsidRPr="00011C2C">
        <w:rPr>
          <w:rFonts w:ascii="楷体_GB2312" w:eastAsia="楷体_GB2312" w:hint="eastAsia"/>
          <w:sz w:val="24"/>
          <w:szCs w:val="24"/>
        </w:rPr>
        <w:t>PCR</w:t>
      </w:r>
      <w:r w:rsidR="00FA38CC" w:rsidRPr="00011C2C">
        <w:rPr>
          <w:rFonts w:ascii="楷体_GB2312" w:eastAsia="楷体_GB2312" w:hint="eastAsia"/>
          <w:sz w:val="24"/>
          <w:szCs w:val="24"/>
        </w:rPr>
        <w:t>大幅</w:t>
      </w:r>
      <w:r w:rsidR="003A5AF9">
        <w:rPr>
          <w:rFonts w:ascii="楷体_GB2312" w:eastAsia="楷体_GB2312" w:hint="eastAsia"/>
          <w:sz w:val="24"/>
          <w:szCs w:val="24"/>
        </w:rPr>
        <w:t>上升</w:t>
      </w:r>
      <w:r w:rsidR="003A66F9">
        <w:rPr>
          <w:rFonts w:ascii="楷体_GB2312" w:eastAsia="楷体_GB2312" w:hint="eastAsia"/>
          <w:sz w:val="24"/>
          <w:szCs w:val="24"/>
        </w:rPr>
        <w:t>后快速回落</w:t>
      </w:r>
      <w:r w:rsidR="002A3578" w:rsidRPr="00011C2C">
        <w:rPr>
          <w:rFonts w:ascii="楷体_GB2312" w:eastAsia="楷体_GB2312" w:hint="eastAsia"/>
          <w:sz w:val="24"/>
          <w:szCs w:val="24"/>
        </w:rPr>
        <w:t>，</w:t>
      </w:r>
      <w:r w:rsidR="00FA38CC" w:rsidRPr="00011C2C">
        <w:rPr>
          <w:rFonts w:ascii="楷体_GB2312" w:eastAsia="楷体_GB2312" w:hint="eastAsia"/>
          <w:sz w:val="24"/>
          <w:szCs w:val="24"/>
        </w:rPr>
        <w:t>成交量PCR</w:t>
      </w:r>
      <w:r w:rsidR="003A66F9">
        <w:rPr>
          <w:rFonts w:ascii="楷体_GB2312" w:eastAsia="楷体_GB2312" w:hint="eastAsia"/>
          <w:sz w:val="24"/>
          <w:szCs w:val="24"/>
        </w:rPr>
        <w:t>周平均0.91</w:t>
      </w:r>
      <w:r w:rsidR="005F3073" w:rsidRPr="00011C2C">
        <w:rPr>
          <w:rFonts w:ascii="楷体_GB2312" w:eastAsia="楷体_GB2312" w:hint="eastAsia"/>
          <w:sz w:val="24"/>
          <w:szCs w:val="24"/>
        </w:rPr>
        <w:t>，</w:t>
      </w:r>
      <w:r w:rsidR="00707866" w:rsidRPr="00011C2C">
        <w:rPr>
          <w:rFonts w:ascii="楷体_GB2312" w:eastAsia="楷体_GB2312" w:hint="eastAsia"/>
          <w:sz w:val="24"/>
          <w:szCs w:val="24"/>
        </w:rPr>
        <w:t>总持仓量</w:t>
      </w:r>
      <w:r w:rsidR="00306D05" w:rsidRPr="00011C2C">
        <w:rPr>
          <w:rFonts w:ascii="楷体_GB2312" w:eastAsia="楷体_GB2312" w:hint="eastAsia"/>
          <w:sz w:val="24"/>
          <w:szCs w:val="24"/>
        </w:rPr>
        <w:t>PCR</w:t>
      </w:r>
      <w:r w:rsidR="0013426A" w:rsidRPr="00011C2C">
        <w:rPr>
          <w:rFonts w:ascii="楷体_GB2312" w:eastAsia="楷体_GB2312" w:hint="eastAsia"/>
          <w:sz w:val="24"/>
          <w:szCs w:val="24"/>
        </w:rPr>
        <w:t>较上周</w:t>
      </w:r>
      <w:r w:rsidR="003A66F9">
        <w:rPr>
          <w:rFonts w:ascii="楷体_GB2312" w:eastAsia="楷体_GB2312" w:hint="eastAsia"/>
          <w:sz w:val="24"/>
          <w:szCs w:val="24"/>
        </w:rPr>
        <w:t>呈上升趋势</w:t>
      </w:r>
      <w:r w:rsidR="005F3073" w:rsidRPr="00011C2C">
        <w:rPr>
          <w:rFonts w:ascii="楷体_GB2312" w:eastAsia="楷体_GB2312" w:hint="eastAsia"/>
          <w:sz w:val="24"/>
          <w:szCs w:val="24"/>
        </w:rPr>
        <w:t>，</w:t>
      </w:r>
      <w:r w:rsidR="009205D0" w:rsidRPr="00011C2C">
        <w:rPr>
          <w:rFonts w:ascii="楷体_GB2312" w:eastAsia="楷体_GB2312" w:hint="eastAsia"/>
          <w:sz w:val="24"/>
          <w:szCs w:val="24"/>
        </w:rPr>
        <w:t>平均</w:t>
      </w:r>
      <w:r w:rsidR="003A66F9">
        <w:rPr>
          <w:rFonts w:ascii="楷体_GB2312" w:eastAsia="楷体_GB2312" w:hint="eastAsia"/>
          <w:sz w:val="24"/>
          <w:szCs w:val="24"/>
        </w:rPr>
        <w:t>1.14</w:t>
      </w:r>
      <w:r w:rsidR="003A5AF9">
        <w:rPr>
          <w:rFonts w:ascii="楷体_GB2312" w:eastAsia="楷体_GB2312" w:hint="eastAsia"/>
          <w:sz w:val="24"/>
          <w:szCs w:val="24"/>
        </w:rPr>
        <w:t>，</w:t>
      </w:r>
      <w:r w:rsidR="003A66F9">
        <w:rPr>
          <w:rFonts w:ascii="楷体_GB2312" w:eastAsia="楷体_GB2312" w:hint="eastAsia"/>
          <w:sz w:val="24"/>
          <w:szCs w:val="24"/>
        </w:rPr>
        <w:t>上升6.54%</w:t>
      </w:r>
      <w:r w:rsidR="00707866" w:rsidRPr="00011C2C">
        <w:rPr>
          <w:rFonts w:ascii="楷体_GB2312" w:eastAsia="楷体_GB2312" w:hint="eastAsia"/>
          <w:sz w:val="24"/>
          <w:szCs w:val="24"/>
        </w:rPr>
        <w:t>。</w:t>
      </w:r>
      <w:r w:rsidR="003A66F9">
        <w:rPr>
          <w:rFonts w:ascii="楷体_GB2312" w:eastAsia="楷体_GB2312" w:hint="eastAsia"/>
          <w:sz w:val="24"/>
          <w:szCs w:val="24"/>
        </w:rPr>
        <w:t>持仓量PCR保持稳定在1以上</w:t>
      </w:r>
      <w:r w:rsidR="003A66F9">
        <w:rPr>
          <w:rFonts w:ascii="楷体_GB2312" w:eastAsia="楷体_GB2312" w:hint="eastAsia"/>
          <w:sz w:val="24"/>
          <w:szCs w:val="24"/>
        </w:rPr>
        <w:t>，</w:t>
      </w:r>
      <w:r w:rsidR="002E045A" w:rsidRPr="00011C2C">
        <w:rPr>
          <w:rFonts w:ascii="楷体_GB2312" w:eastAsia="楷体_GB2312" w:hint="eastAsia"/>
          <w:sz w:val="24"/>
          <w:szCs w:val="24"/>
        </w:rPr>
        <w:t>从整体</w:t>
      </w:r>
      <w:r w:rsidR="003A66F9">
        <w:rPr>
          <w:rFonts w:ascii="楷体_GB2312" w:eastAsia="楷体_GB2312" w:hint="eastAsia"/>
          <w:sz w:val="24"/>
          <w:szCs w:val="24"/>
        </w:rPr>
        <w:t>来</w:t>
      </w:r>
      <w:r w:rsidR="00306D05" w:rsidRPr="00011C2C">
        <w:rPr>
          <w:rFonts w:ascii="楷体_GB2312" w:eastAsia="楷体_GB2312" w:hint="eastAsia"/>
          <w:sz w:val="24"/>
          <w:szCs w:val="24"/>
        </w:rPr>
        <w:t>看</w:t>
      </w:r>
      <w:r w:rsidR="00EF7E87">
        <w:rPr>
          <w:rFonts w:ascii="楷体_GB2312" w:eastAsia="楷体_GB2312" w:hint="eastAsia"/>
          <w:sz w:val="24"/>
          <w:szCs w:val="24"/>
        </w:rPr>
        <w:t>，</w:t>
      </w:r>
      <w:r w:rsidRPr="00011C2C">
        <w:rPr>
          <w:rFonts w:ascii="楷体_GB2312" w:eastAsia="楷体_GB2312" w:hint="eastAsia"/>
          <w:sz w:val="24"/>
          <w:szCs w:val="24"/>
        </w:rPr>
        <w:t>目前市场</w:t>
      </w:r>
      <w:r w:rsidR="00707866" w:rsidRPr="00011C2C">
        <w:rPr>
          <w:rFonts w:ascii="楷体_GB2312" w:eastAsia="楷体_GB2312" w:hint="eastAsia"/>
          <w:sz w:val="24"/>
          <w:szCs w:val="24"/>
        </w:rPr>
        <w:t>投资者</w:t>
      </w:r>
      <w:r w:rsidR="00204958" w:rsidRPr="00011C2C">
        <w:rPr>
          <w:rFonts w:ascii="楷体_GB2312" w:eastAsia="楷体_GB2312" w:hint="eastAsia"/>
          <w:sz w:val="24"/>
          <w:szCs w:val="24"/>
        </w:rPr>
        <w:t>情绪</w:t>
      </w:r>
      <w:r w:rsidR="003A5AF9">
        <w:rPr>
          <w:rFonts w:ascii="楷体_GB2312" w:eastAsia="楷体_GB2312" w:hint="eastAsia"/>
          <w:sz w:val="24"/>
          <w:szCs w:val="24"/>
        </w:rPr>
        <w:t>偏乐观</w:t>
      </w:r>
      <w:r w:rsidR="00306D05" w:rsidRPr="00011C2C">
        <w:rPr>
          <w:rFonts w:ascii="楷体_GB2312" w:eastAsia="楷体_GB2312" w:hint="eastAsia"/>
          <w:sz w:val="24"/>
          <w:szCs w:val="24"/>
        </w:rPr>
        <w:t>。</w:t>
      </w:r>
    </w:p>
    <w:p w14:paraId="13E0F09F" w14:textId="77777777" w:rsidR="00C64D82" w:rsidRPr="003E7B26" w:rsidRDefault="00C64D82" w:rsidP="00C64D82">
      <w:pPr>
        <w:spacing w:line="400" w:lineRule="exact"/>
        <w:ind w:firstLineChars="200" w:firstLine="480"/>
        <w:rPr>
          <w:rFonts w:ascii="楷体_GB2312" w:eastAsia="楷体_GB2312"/>
          <w:sz w:val="24"/>
          <w:szCs w:val="24"/>
        </w:rPr>
      </w:pPr>
    </w:p>
    <w:p w14:paraId="3DEAB300" w14:textId="77777777" w:rsidR="00FA38CC" w:rsidRPr="008441A0" w:rsidRDefault="00FA38CC" w:rsidP="00C64D82">
      <w:pPr>
        <w:spacing w:line="400" w:lineRule="exact"/>
        <w:ind w:firstLineChars="200" w:firstLine="480"/>
        <w:rPr>
          <w:rFonts w:ascii="楷体_GB2312" w:eastAsia="楷体_GB2312"/>
          <w:sz w:val="24"/>
          <w:szCs w:val="24"/>
        </w:rPr>
      </w:pPr>
    </w:p>
    <w:p w14:paraId="377BC147" w14:textId="77777777" w:rsidR="00C64D82" w:rsidRDefault="00C64D82" w:rsidP="00C64D82">
      <w:pPr>
        <w:spacing w:line="400" w:lineRule="exact"/>
        <w:ind w:firstLineChars="200" w:firstLine="480"/>
        <w:rPr>
          <w:rFonts w:ascii="楷体_GB2312" w:eastAsia="楷体_GB2312"/>
          <w:sz w:val="24"/>
          <w:szCs w:val="24"/>
        </w:rPr>
      </w:pPr>
    </w:p>
    <w:p w14:paraId="21B29F81" w14:textId="77777777" w:rsidR="00C64D82" w:rsidRDefault="00C64D82" w:rsidP="00C64D82">
      <w:pPr>
        <w:spacing w:line="400" w:lineRule="exact"/>
        <w:ind w:firstLineChars="200" w:firstLine="480"/>
        <w:rPr>
          <w:rFonts w:ascii="楷体_GB2312" w:eastAsia="楷体_GB2312"/>
          <w:sz w:val="24"/>
          <w:szCs w:val="24"/>
        </w:rPr>
      </w:pPr>
    </w:p>
    <w:p w14:paraId="385AE095" w14:textId="77777777" w:rsidR="0074490B" w:rsidRDefault="0074490B" w:rsidP="00C64D82">
      <w:pPr>
        <w:spacing w:line="400" w:lineRule="exact"/>
        <w:ind w:firstLineChars="200" w:firstLine="480"/>
        <w:rPr>
          <w:rFonts w:ascii="楷体_GB2312" w:eastAsia="楷体_GB2312"/>
          <w:sz w:val="24"/>
          <w:szCs w:val="24"/>
        </w:rPr>
      </w:pPr>
    </w:p>
    <w:p w14:paraId="7B951BD8" w14:textId="77777777" w:rsidR="00C833BC" w:rsidRDefault="00C833BC" w:rsidP="008D252A">
      <w:pPr>
        <w:ind w:rightChars="-416" w:right="-874"/>
        <w:rPr>
          <w:rFonts w:ascii="楷体_GB2312" w:eastAsia="楷体_GB2312"/>
          <w:sz w:val="24"/>
          <w:szCs w:val="24"/>
        </w:rPr>
      </w:pPr>
    </w:p>
    <w:p w14:paraId="6DF37901" w14:textId="77777777" w:rsidR="00EF7E87" w:rsidRDefault="00EF7E87" w:rsidP="008D252A">
      <w:pPr>
        <w:ind w:rightChars="-416" w:right="-874"/>
        <w:rPr>
          <w:rFonts w:ascii="楷体_GB2312" w:eastAsia="楷体_GB2312"/>
          <w:sz w:val="24"/>
          <w:szCs w:val="24"/>
        </w:rPr>
      </w:pPr>
    </w:p>
    <w:p w14:paraId="30761F63" w14:textId="77777777" w:rsidR="00EF7E87" w:rsidRDefault="00EF7E87" w:rsidP="008D252A">
      <w:pPr>
        <w:ind w:rightChars="-416" w:right="-874"/>
        <w:rPr>
          <w:rFonts w:ascii="楷体_GB2312" w:eastAsia="楷体_GB2312"/>
          <w:sz w:val="24"/>
          <w:szCs w:val="24"/>
        </w:rPr>
      </w:pPr>
    </w:p>
    <w:p w14:paraId="59A606B8" w14:textId="77777777" w:rsidR="00002F60" w:rsidRPr="008D252A" w:rsidRDefault="00002F60"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2AF28511" w:rsidR="00375911" w:rsidRPr="00306D05" w:rsidRDefault="00784CA4"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366DDCC2">
                <wp:simplePos x="0" y="0"/>
                <wp:positionH relativeFrom="column">
                  <wp:posOffset>57785</wp:posOffset>
                </wp:positionH>
                <wp:positionV relativeFrom="paragraph">
                  <wp:posOffset>3505200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6pt" to="460.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" strokecolor="teal" strokeweight="2.25pt"/>
            </w:pict>
          </mc:Fallback>
        </mc:AlternateContent>
      </w:r>
      <w:r w:rsidR="00E7093E">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34E7A9E7">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375911" w:rsidRPr="007921D6">
        <w:rPr>
          <w:rFonts w:ascii="楷体_GB2312" w:eastAsia="楷体_GB2312" w:hAnsi="宋体" w:hint="eastAsia"/>
          <w:b/>
          <w:noProof/>
        </w:rPr>
        <w:t xml:space="preserve"> </w:t>
      </w:r>
      <w:r w:rsidR="00AF60CE">
        <w:rPr>
          <w:noProof/>
        </w:rPr>
        <w:drawing>
          <wp:inline distT="0" distB="0" distL="0" distR="0" wp14:anchorId="790DB9B7" wp14:editId="101D8D3C">
            <wp:extent cx="5781675" cy="3476625"/>
            <wp:effectExtent l="0" t="0" r="952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5B83CB1C" w:rsidR="00375911" w:rsidRPr="007921D6" w:rsidRDefault="00EF7E87"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6AF05B9C">
                <wp:simplePos x="0" y="0"/>
                <wp:positionH relativeFrom="column">
                  <wp:posOffset>57785</wp:posOffset>
                </wp:positionH>
                <wp:positionV relativeFrom="paragraph">
                  <wp:posOffset>3351530</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3.9pt" to="465.05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" strokecolor="teal" strokeweight="2.25pt"/>
            </w:pict>
          </mc:Fallback>
        </mc:AlternateContent>
      </w:r>
      <w:r w:rsidR="001B1802">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334B4DB1">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441619" w:rsidRPr="00441619">
        <w:rPr>
          <w:noProof/>
        </w:rPr>
        <w:t xml:space="preserve"> </w:t>
      </w:r>
      <w:r w:rsidR="006C1F0D">
        <w:rPr>
          <w:noProof/>
        </w:rPr>
        <w:drawing>
          <wp:inline distT="0" distB="0" distL="0" distR="0" wp14:anchorId="094E3583" wp14:editId="3F0CA01B">
            <wp:extent cx="5838825" cy="3314700"/>
            <wp:effectExtent l="0" t="0" r="9525"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6143">
        <w:rPr>
          <w:noProof/>
        </w:rPr>
        <w:t xml:space="preserve"> </w:t>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lastRenderedPageBreak/>
        <w:t>三、</w:t>
      </w:r>
      <w:r w:rsidRPr="00BD3510">
        <w:rPr>
          <w:rFonts w:ascii="楷体_GB2312" w:eastAsia="楷体_GB2312" w:hAnsi="宋体" w:hint="eastAsia"/>
          <w:b/>
          <w:color w:val="008080"/>
          <w:sz w:val="28"/>
        </w:rPr>
        <w:t>波动率情况</w:t>
      </w:r>
    </w:p>
    <w:p w14:paraId="5683048F" w14:textId="3DBF9D65" w:rsidR="008441A0" w:rsidRPr="00A96A91" w:rsidRDefault="00C64D82" w:rsidP="0040426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w:t>
      </w:r>
      <w:r w:rsidR="007E6924" w:rsidRPr="00A96A91">
        <w:rPr>
          <w:rFonts w:ascii="楷体_GB2312" w:eastAsia="楷体_GB2312" w:hint="eastAsia"/>
          <w:sz w:val="24"/>
          <w:szCs w:val="24"/>
        </w:rPr>
        <w:t>期权</w:t>
      </w:r>
      <w:r w:rsidRPr="00A96A91">
        <w:rPr>
          <w:rFonts w:ascii="楷体_GB2312" w:eastAsia="楷体_GB2312" w:hint="eastAsia"/>
          <w:sz w:val="24"/>
          <w:szCs w:val="24"/>
        </w:rPr>
        <w:t>波动率方面看</w:t>
      </w:r>
      <w:r w:rsidR="00056557" w:rsidRPr="00A96A91">
        <w:rPr>
          <w:rFonts w:ascii="楷体_GB2312" w:eastAsia="楷体_GB2312" w:hint="eastAsia"/>
          <w:sz w:val="24"/>
          <w:szCs w:val="24"/>
        </w:rPr>
        <w:t>，</w:t>
      </w:r>
      <w:r w:rsidR="008441A0" w:rsidRPr="00A96A91">
        <w:rPr>
          <w:rFonts w:ascii="楷体_GB2312" w:eastAsia="楷体_GB2312" w:hint="eastAsia"/>
          <w:sz w:val="24"/>
          <w:szCs w:val="24"/>
        </w:rPr>
        <w:t>本</w:t>
      </w:r>
      <w:r w:rsidR="007E6924" w:rsidRPr="00A96A91">
        <w:rPr>
          <w:rFonts w:ascii="楷体_GB2312" w:eastAsia="楷体_GB2312" w:hint="eastAsia"/>
          <w:sz w:val="24"/>
          <w:szCs w:val="24"/>
        </w:rPr>
        <w:t>周</w:t>
      </w:r>
      <w:r w:rsidR="00A96A91" w:rsidRPr="00A96A91">
        <w:rPr>
          <w:rFonts w:ascii="楷体_GB2312" w:eastAsia="楷体_GB2312" w:hint="eastAsia"/>
          <w:sz w:val="24"/>
          <w:szCs w:val="24"/>
        </w:rPr>
        <w:t>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1901合约</w:t>
      </w:r>
      <w:r w:rsidR="0013426A">
        <w:rPr>
          <w:rFonts w:ascii="楷体_GB2312" w:eastAsia="楷体_GB2312" w:hint="eastAsia"/>
          <w:sz w:val="24"/>
          <w:szCs w:val="24"/>
        </w:rPr>
        <w:t>平值</w:t>
      </w:r>
      <w:r w:rsidR="00A96A91" w:rsidRPr="00A96A91">
        <w:rPr>
          <w:rFonts w:ascii="楷体_GB2312" w:eastAsia="楷体_GB2312" w:hint="eastAsia"/>
          <w:sz w:val="24"/>
          <w:szCs w:val="24"/>
        </w:rPr>
        <w:t>期权隐含波动率</w:t>
      </w:r>
      <w:r w:rsidR="003A66F9">
        <w:rPr>
          <w:rFonts w:ascii="楷体_GB2312" w:eastAsia="楷体_GB2312" w:hint="eastAsia"/>
          <w:sz w:val="24"/>
          <w:szCs w:val="24"/>
        </w:rPr>
        <w:t>在周五受假期影响大幅上升，</w:t>
      </w:r>
      <w:r w:rsidR="003A5AF9">
        <w:rPr>
          <w:rFonts w:ascii="楷体_GB2312" w:eastAsia="楷体_GB2312" w:hint="eastAsia"/>
          <w:sz w:val="24"/>
          <w:szCs w:val="24"/>
        </w:rPr>
        <w:t>9月2</w:t>
      </w:r>
      <w:r w:rsidR="003A66F9">
        <w:rPr>
          <w:rFonts w:ascii="楷体_GB2312" w:eastAsia="楷体_GB2312" w:hint="eastAsia"/>
          <w:sz w:val="24"/>
          <w:szCs w:val="24"/>
        </w:rPr>
        <w:t>8</w:t>
      </w:r>
      <w:r w:rsidR="003A5AF9">
        <w:rPr>
          <w:rFonts w:ascii="楷体_GB2312" w:eastAsia="楷体_GB2312" w:hint="eastAsia"/>
          <w:sz w:val="24"/>
          <w:szCs w:val="24"/>
        </w:rPr>
        <w:t>日</w:t>
      </w:r>
      <w:proofErr w:type="gramStart"/>
      <w:r w:rsidR="003A5AF9">
        <w:rPr>
          <w:rFonts w:ascii="楷体_GB2312" w:eastAsia="楷体_GB2312" w:hint="eastAsia"/>
          <w:sz w:val="24"/>
          <w:szCs w:val="24"/>
        </w:rPr>
        <w:t>周五</w:t>
      </w:r>
      <w:r w:rsidR="007477ED" w:rsidRPr="00A96A91">
        <w:rPr>
          <w:rFonts w:ascii="楷体_GB2312" w:eastAsia="楷体_GB2312" w:hint="eastAsia"/>
          <w:sz w:val="24"/>
          <w:szCs w:val="24"/>
        </w:rPr>
        <w:t>平</w:t>
      </w:r>
      <w:proofErr w:type="gramEnd"/>
      <w:r w:rsidR="007477ED" w:rsidRPr="00A96A91">
        <w:rPr>
          <w:rFonts w:ascii="楷体_GB2312" w:eastAsia="楷体_GB2312" w:hint="eastAsia"/>
          <w:sz w:val="24"/>
          <w:szCs w:val="24"/>
        </w:rPr>
        <w:t>值期权的隐含波动率为</w:t>
      </w:r>
      <w:r w:rsidR="003A66F9">
        <w:rPr>
          <w:rFonts w:ascii="楷体_GB2312" w:eastAsia="楷体_GB2312" w:hint="eastAsia"/>
          <w:sz w:val="24"/>
          <w:szCs w:val="24"/>
        </w:rPr>
        <w:t>21.70</w:t>
      </w:r>
      <w:r w:rsidR="007477ED" w:rsidRPr="00A96A91">
        <w:rPr>
          <w:rFonts w:ascii="楷体_GB2312" w:eastAsia="楷体_GB2312" w:hint="eastAsia"/>
          <w:sz w:val="24"/>
          <w:szCs w:val="24"/>
        </w:rPr>
        <w:t>%</w:t>
      </w:r>
      <w:r w:rsidR="0027339A">
        <w:rPr>
          <w:rFonts w:ascii="楷体_GB2312" w:eastAsia="楷体_GB2312" w:hint="eastAsia"/>
          <w:sz w:val="24"/>
          <w:szCs w:val="24"/>
        </w:rPr>
        <w:t>；而</w:t>
      </w:r>
      <w:r w:rsidR="007477ED" w:rsidRPr="00A96A91">
        <w:rPr>
          <w:rFonts w:ascii="楷体_GB2312" w:eastAsia="楷体_GB2312" w:hint="eastAsia"/>
          <w:sz w:val="24"/>
          <w:szCs w:val="24"/>
        </w:rPr>
        <w:t>30日历史波动率为</w:t>
      </w:r>
      <w:r w:rsidR="003A66F9">
        <w:rPr>
          <w:rFonts w:ascii="楷体_GB2312" w:eastAsia="楷体_GB2312" w:hint="eastAsia"/>
          <w:sz w:val="24"/>
          <w:szCs w:val="24"/>
        </w:rPr>
        <w:t>19.08</w:t>
      </w:r>
      <w:r w:rsidR="007477ED" w:rsidRPr="00A96A91">
        <w:rPr>
          <w:rFonts w:ascii="楷体_GB2312" w:eastAsia="楷体_GB2312" w:hint="eastAsia"/>
          <w:sz w:val="24"/>
          <w:szCs w:val="24"/>
        </w:rPr>
        <w:t>%。</w:t>
      </w:r>
      <w:r w:rsidR="0013426A">
        <w:rPr>
          <w:rFonts w:ascii="楷体_GB2312" w:eastAsia="楷体_GB2312" w:hint="eastAsia"/>
          <w:sz w:val="24"/>
          <w:szCs w:val="24"/>
        </w:rPr>
        <w:t>历史波动率重心</w:t>
      </w:r>
      <w:r w:rsidR="003A66F9">
        <w:rPr>
          <w:rFonts w:ascii="楷体_GB2312" w:eastAsia="楷体_GB2312" w:hint="eastAsia"/>
          <w:sz w:val="24"/>
          <w:szCs w:val="24"/>
        </w:rPr>
        <w:t>有所</w:t>
      </w:r>
      <w:r w:rsidR="00952934">
        <w:rPr>
          <w:rFonts w:ascii="楷体_GB2312" w:eastAsia="楷体_GB2312" w:hint="eastAsia"/>
          <w:sz w:val="24"/>
          <w:szCs w:val="24"/>
        </w:rPr>
        <w:t>下移，</w:t>
      </w:r>
      <w:r w:rsidR="003A66F9">
        <w:rPr>
          <w:rFonts w:ascii="楷体_GB2312" w:eastAsia="楷体_GB2312" w:hint="eastAsia"/>
          <w:sz w:val="24"/>
          <w:szCs w:val="24"/>
        </w:rPr>
        <w:t>隐含</w:t>
      </w:r>
      <w:proofErr w:type="gramStart"/>
      <w:r w:rsidR="003A66F9">
        <w:rPr>
          <w:rFonts w:ascii="楷体_GB2312" w:eastAsia="楷体_GB2312" w:hint="eastAsia"/>
          <w:sz w:val="24"/>
          <w:szCs w:val="24"/>
        </w:rPr>
        <w:t>波动率受国庆</w:t>
      </w:r>
      <w:proofErr w:type="gramEnd"/>
      <w:r w:rsidR="003A66F9">
        <w:rPr>
          <w:rFonts w:ascii="楷体_GB2312" w:eastAsia="楷体_GB2312" w:hint="eastAsia"/>
          <w:sz w:val="24"/>
          <w:szCs w:val="24"/>
        </w:rPr>
        <w:t>假期影响表现出正常的上涨</w:t>
      </w:r>
      <w:r w:rsidR="0013426A">
        <w:rPr>
          <w:rFonts w:ascii="楷体_GB2312" w:eastAsia="楷体_GB2312" w:hint="eastAsia"/>
          <w:sz w:val="24"/>
          <w:szCs w:val="24"/>
        </w:rPr>
        <w:t>，预计</w:t>
      </w:r>
      <w:r w:rsidR="003A66F9">
        <w:rPr>
          <w:rFonts w:ascii="楷体_GB2312" w:eastAsia="楷体_GB2312" w:hint="eastAsia"/>
          <w:sz w:val="24"/>
          <w:szCs w:val="24"/>
        </w:rPr>
        <w:t>节后</w:t>
      </w:r>
      <w:r w:rsidR="00134C4E">
        <w:rPr>
          <w:rFonts w:ascii="楷体_GB2312" w:eastAsia="楷体_GB2312" w:hint="eastAsia"/>
          <w:sz w:val="24"/>
          <w:szCs w:val="24"/>
        </w:rPr>
        <w:t>隐含</w:t>
      </w:r>
      <w:r w:rsidR="003771C1">
        <w:rPr>
          <w:rFonts w:ascii="楷体_GB2312" w:eastAsia="楷体_GB2312" w:hint="eastAsia"/>
          <w:sz w:val="24"/>
          <w:szCs w:val="24"/>
        </w:rPr>
        <w:t>波动率</w:t>
      </w:r>
      <w:r w:rsidR="00134C4E">
        <w:rPr>
          <w:rFonts w:ascii="楷体_GB2312" w:eastAsia="楷体_GB2312" w:hint="eastAsia"/>
          <w:sz w:val="24"/>
          <w:szCs w:val="24"/>
        </w:rPr>
        <w:t>先上升后回落</w:t>
      </w:r>
      <w:r w:rsidR="00952934">
        <w:rPr>
          <w:rFonts w:ascii="楷体_GB2312" w:eastAsia="楷体_GB2312" w:hint="eastAsia"/>
          <w:sz w:val="24"/>
          <w:szCs w:val="24"/>
        </w:rPr>
        <w:t>的概率较大</w:t>
      </w:r>
      <w:r w:rsidR="008441A0" w:rsidRPr="00A96A91">
        <w:rPr>
          <w:rFonts w:ascii="楷体_GB2312" w:eastAsia="楷体_GB2312" w:hint="eastAsia"/>
          <w:sz w:val="24"/>
          <w:szCs w:val="24"/>
        </w:rPr>
        <w:t>。</w:t>
      </w:r>
    </w:p>
    <w:p w14:paraId="123CA852" w14:textId="2D7FCD13"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w:t>
      </w:r>
      <w:r w:rsidR="0013426A">
        <w:rPr>
          <w:rFonts w:ascii="楷体_GB2312" w:eastAsia="楷体_GB2312" w:hint="eastAsia"/>
          <w:sz w:val="24"/>
          <w:szCs w:val="24"/>
        </w:rPr>
        <w:t>9</w:t>
      </w:r>
      <w:r w:rsidR="00404265">
        <w:rPr>
          <w:rFonts w:ascii="楷体_GB2312" w:eastAsia="楷体_GB2312" w:hint="eastAsia"/>
          <w:sz w:val="24"/>
          <w:szCs w:val="24"/>
        </w:rPr>
        <w:t>月</w:t>
      </w:r>
      <w:r w:rsidR="00952934">
        <w:rPr>
          <w:rFonts w:ascii="楷体_GB2312" w:eastAsia="楷体_GB2312" w:hint="eastAsia"/>
          <w:sz w:val="24"/>
          <w:szCs w:val="24"/>
        </w:rPr>
        <w:t>2</w:t>
      </w:r>
      <w:r w:rsidR="003A66F9">
        <w:rPr>
          <w:rFonts w:ascii="楷体_GB2312" w:eastAsia="楷体_GB2312" w:hint="eastAsia"/>
          <w:sz w:val="24"/>
          <w:szCs w:val="24"/>
        </w:rPr>
        <w:t>8</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w:t>
      </w:r>
      <w:proofErr w:type="gramStart"/>
      <w:r w:rsidR="001B1802" w:rsidRPr="001B1802">
        <w:rPr>
          <w:rFonts w:ascii="楷体_GB2312" w:eastAsia="楷体_GB2312" w:hint="eastAsia"/>
          <w:sz w:val="24"/>
          <w:szCs w:val="24"/>
        </w:rPr>
        <w:t>粕</w:t>
      </w:r>
      <w:proofErr w:type="gramEnd"/>
      <w:r w:rsidR="00404265">
        <w:rPr>
          <w:rFonts w:ascii="楷体_GB2312" w:eastAsia="楷体_GB2312" w:hint="eastAsia"/>
          <w:sz w:val="24"/>
          <w:szCs w:val="24"/>
        </w:rPr>
        <w:t>5</w:t>
      </w:r>
      <w:r w:rsidR="00863103">
        <w:rPr>
          <w:rFonts w:ascii="楷体_GB2312" w:eastAsia="楷体_GB2312" w:hint="eastAsia"/>
          <w:sz w:val="24"/>
          <w:szCs w:val="24"/>
        </w:rPr>
        <w:t>日</w:t>
      </w:r>
      <w:r w:rsidR="0027339A">
        <w:rPr>
          <w:rFonts w:ascii="楷体_GB2312" w:eastAsia="楷体_GB2312" w:hint="eastAsia"/>
          <w:sz w:val="24"/>
          <w:szCs w:val="24"/>
        </w:rPr>
        <w:t>历史</w:t>
      </w:r>
      <w:proofErr w:type="gramStart"/>
      <w:r w:rsidR="0027339A">
        <w:rPr>
          <w:rFonts w:ascii="楷体_GB2312" w:eastAsia="楷体_GB2312" w:hint="eastAsia"/>
          <w:sz w:val="24"/>
          <w:szCs w:val="24"/>
        </w:rPr>
        <w:t>波动率</w:t>
      </w:r>
      <w:r w:rsidR="00134C4E">
        <w:rPr>
          <w:rFonts w:ascii="楷体_GB2312" w:eastAsia="楷体_GB2312" w:hint="eastAsia"/>
          <w:sz w:val="24"/>
          <w:szCs w:val="24"/>
        </w:rPr>
        <w:t>重回</w:t>
      </w:r>
      <w:proofErr w:type="gramEnd"/>
      <w:r w:rsidR="00134C4E">
        <w:rPr>
          <w:rFonts w:ascii="楷体_GB2312" w:eastAsia="楷体_GB2312" w:hint="eastAsia"/>
          <w:sz w:val="24"/>
          <w:szCs w:val="24"/>
        </w:rPr>
        <w:t>中分位附近</w:t>
      </w:r>
      <w:r w:rsidR="0027339A">
        <w:rPr>
          <w:rFonts w:ascii="楷体_GB2312" w:eastAsia="楷体_GB2312" w:hint="eastAsia"/>
          <w:sz w:val="24"/>
          <w:szCs w:val="24"/>
        </w:rPr>
        <w:t>，</w:t>
      </w:r>
      <w:r w:rsidR="003771C1">
        <w:rPr>
          <w:rFonts w:ascii="楷体_GB2312" w:eastAsia="楷体_GB2312" w:hint="eastAsia"/>
          <w:sz w:val="24"/>
          <w:szCs w:val="24"/>
        </w:rPr>
        <w:t>而</w:t>
      </w:r>
      <w:r w:rsidR="008441A0">
        <w:rPr>
          <w:rFonts w:ascii="楷体_GB2312" w:eastAsia="楷体_GB2312" w:hint="eastAsia"/>
          <w:sz w:val="24"/>
          <w:szCs w:val="24"/>
        </w:rPr>
        <w:t>10日</w:t>
      </w:r>
      <w:r w:rsidR="006C292F">
        <w:rPr>
          <w:rFonts w:ascii="楷体_GB2312" w:eastAsia="楷体_GB2312" w:hint="eastAsia"/>
          <w:sz w:val="24"/>
          <w:szCs w:val="24"/>
        </w:rPr>
        <w:t>、20日</w:t>
      </w:r>
      <w:r w:rsidR="00863103">
        <w:rPr>
          <w:rFonts w:ascii="楷体_GB2312" w:eastAsia="楷体_GB2312" w:hint="eastAsia"/>
          <w:sz w:val="24"/>
          <w:szCs w:val="24"/>
        </w:rPr>
        <w:t>历史</w:t>
      </w:r>
      <w:r w:rsidR="00FE440A">
        <w:rPr>
          <w:rFonts w:ascii="楷体_GB2312" w:eastAsia="楷体_GB2312" w:hint="eastAsia"/>
          <w:sz w:val="24"/>
          <w:szCs w:val="24"/>
        </w:rPr>
        <w:t>波动率</w:t>
      </w:r>
      <w:r w:rsidR="00952934">
        <w:rPr>
          <w:rFonts w:ascii="楷体_GB2312" w:eastAsia="楷体_GB2312" w:hint="eastAsia"/>
          <w:sz w:val="24"/>
          <w:szCs w:val="24"/>
        </w:rPr>
        <w:t>仍</w:t>
      </w:r>
      <w:r w:rsidR="00FF0252">
        <w:rPr>
          <w:rFonts w:ascii="楷体_GB2312" w:eastAsia="楷体_GB2312" w:hint="eastAsia"/>
          <w:sz w:val="24"/>
          <w:szCs w:val="24"/>
        </w:rPr>
        <w:t>在</w:t>
      </w:r>
      <w:r w:rsidR="003E7B26">
        <w:rPr>
          <w:rFonts w:ascii="楷体_GB2312" w:eastAsia="楷体_GB2312" w:hint="eastAsia"/>
          <w:sz w:val="24"/>
          <w:szCs w:val="24"/>
        </w:rPr>
        <w:t>中分位</w:t>
      </w:r>
      <w:r w:rsidR="00134C4E">
        <w:rPr>
          <w:rFonts w:ascii="楷体_GB2312" w:eastAsia="楷体_GB2312" w:hint="eastAsia"/>
          <w:sz w:val="24"/>
          <w:szCs w:val="24"/>
        </w:rPr>
        <w:t>以下</w:t>
      </w:r>
      <w:r w:rsidR="0027339A">
        <w:rPr>
          <w:rFonts w:ascii="楷体_GB2312" w:eastAsia="楷体_GB2312" w:hint="eastAsia"/>
          <w:sz w:val="24"/>
          <w:szCs w:val="24"/>
        </w:rPr>
        <w:t>，</w:t>
      </w:r>
      <w:r w:rsidR="003E7B26">
        <w:rPr>
          <w:rFonts w:ascii="楷体_GB2312" w:eastAsia="楷体_GB2312" w:hint="eastAsia"/>
          <w:sz w:val="24"/>
          <w:szCs w:val="24"/>
        </w:rPr>
        <w:t>较上周</w:t>
      </w:r>
      <w:r w:rsidR="00134C4E">
        <w:rPr>
          <w:rFonts w:ascii="楷体_GB2312" w:eastAsia="楷体_GB2312" w:hint="eastAsia"/>
          <w:sz w:val="24"/>
          <w:szCs w:val="24"/>
        </w:rPr>
        <w:t>有所下降</w:t>
      </w:r>
      <w:r w:rsidR="007E140F">
        <w:rPr>
          <w:rFonts w:ascii="楷体_GB2312" w:eastAsia="楷体_GB2312" w:hint="eastAsia"/>
          <w:sz w:val="24"/>
          <w:szCs w:val="24"/>
        </w:rPr>
        <w:t>。</w:t>
      </w:r>
      <w:r w:rsidR="0027339A">
        <w:rPr>
          <w:rFonts w:ascii="楷体_GB2312" w:eastAsia="楷体_GB2312" w:hint="eastAsia"/>
          <w:sz w:val="24"/>
          <w:szCs w:val="24"/>
        </w:rPr>
        <w:t>预计</w:t>
      </w:r>
      <w:r w:rsidR="00CD3A17">
        <w:rPr>
          <w:rFonts w:ascii="楷体_GB2312" w:eastAsia="楷体_GB2312" w:hint="eastAsia"/>
          <w:sz w:val="24"/>
          <w:szCs w:val="24"/>
        </w:rPr>
        <w:t>近期豆</w:t>
      </w:r>
      <w:proofErr w:type="gramStart"/>
      <w:r w:rsidR="00CD3A17">
        <w:rPr>
          <w:rFonts w:ascii="楷体_GB2312" w:eastAsia="楷体_GB2312" w:hint="eastAsia"/>
          <w:sz w:val="24"/>
          <w:szCs w:val="24"/>
        </w:rPr>
        <w:t>粕</w:t>
      </w:r>
      <w:proofErr w:type="gramEnd"/>
      <w:r w:rsidR="00863103">
        <w:rPr>
          <w:rFonts w:ascii="楷体_GB2312" w:eastAsia="楷体_GB2312" w:hint="eastAsia"/>
          <w:sz w:val="24"/>
          <w:szCs w:val="24"/>
        </w:rPr>
        <w:t>历史波动率</w:t>
      </w:r>
      <w:r w:rsidR="00204958">
        <w:rPr>
          <w:rFonts w:ascii="楷体_GB2312" w:eastAsia="楷体_GB2312" w:hint="eastAsia"/>
          <w:sz w:val="24"/>
          <w:szCs w:val="24"/>
        </w:rPr>
        <w:t>将</w:t>
      </w:r>
      <w:r w:rsidR="00011C2C">
        <w:rPr>
          <w:rFonts w:ascii="楷体_GB2312" w:eastAsia="楷体_GB2312" w:hint="eastAsia"/>
          <w:sz w:val="24"/>
          <w:szCs w:val="24"/>
        </w:rPr>
        <w:t>呈现</w:t>
      </w:r>
      <w:r w:rsidR="00134C4E">
        <w:rPr>
          <w:rFonts w:ascii="楷体_GB2312" w:eastAsia="楷体_GB2312" w:hint="eastAsia"/>
          <w:sz w:val="24"/>
          <w:szCs w:val="24"/>
        </w:rPr>
        <w:t>震荡趋势</w:t>
      </w:r>
      <w:r w:rsidR="00CD3A17">
        <w:rPr>
          <w:rFonts w:ascii="楷体_GB2312" w:eastAsia="楷体_GB2312" w:hint="eastAsia"/>
          <w:sz w:val="24"/>
          <w:szCs w:val="24"/>
        </w:rPr>
        <w:t>。</w:t>
      </w:r>
    </w:p>
    <w:p w14:paraId="3C120EA2" w14:textId="717EF8EE" w:rsidR="001B1802" w:rsidRPr="00A96A91" w:rsidRDefault="001B1802" w:rsidP="001B1802">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结合豆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w:t>
      </w:r>
      <w:r w:rsidR="00404265" w:rsidRPr="00A96A91">
        <w:rPr>
          <w:rFonts w:ascii="楷体_GB2312" w:eastAsia="楷体_GB2312" w:hint="eastAsia"/>
          <w:sz w:val="24"/>
          <w:szCs w:val="24"/>
        </w:rPr>
        <w:t>期限结构</w:t>
      </w:r>
      <w:r w:rsidRPr="00A96A91">
        <w:rPr>
          <w:rFonts w:ascii="楷体_GB2312" w:eastAsia="楷体_GB2312" w:hint="eastAsia"/>
          <w:sz w:val="24"/>
          <w:szCs w:val="24"/>
        </w:rPr>
        <w:t>情况分析，</w:t>
      </w:r>
      <w:r w:rsidR="00927EC5">
        <w:rPr>
          <w:rFonts w:ascii="楷体_GB2312" w:eastAsia="楷体_GB2312" w:hint="eastAsia"/>
          <w:sz w:val="24"/>
          <w:szCs w:val="24"/>
        </w:rPr>
        <w:t>1</w:t>
      </w:r>
      <w:r w:rsidR="00011C2C">
        <w:rPr>
          <w:rFonts w:ascii="楷体_GB2312" w:eastAsia="楷体_GB2312" w:hint="eastAsia"/>
          <w:sz w:val="24"/>
          <w:szCs w:val="24"/>
        </w:rPr>
        <w:t>月平值</w:t>
      </w:r>
      <w:r w:rsidRPr="00A96A91">
        <w:rPr>
          <w:rFonts w:ascii="楷体_GB2312" w:eastAsia="楷体_GB2312" w:hint="eastAsia"/>
          <w:sz w:val="24"/>
          <w:szCs w:val="24"/>
        </w:rPr>
        <w:t>隐含波动率</w:t>
      </w:r>
      <w:r w:rsidR="007551D0">
        <w:rPr>
          <w:rFonts w:ascii="楷体_GB2312" w:eastAsia="楷体_GB2312" w:hint="eastAsia"/>
          <w:sz w:val="24"/>
          <w:szCs w:val="24"/>
        </w:rPr>
        <w:t>与上周比较，平值期权隐含波动率</w:t>
      </w:r>
      <w:r w:rsidR="00134C4E">
        <w:rPr>
          <w:rFonts w:ascii="楷体_GB2312" w:eastAsia="楷体_GB2312" w:hint="eastAsia"/>
          <w:sz w:val="24"/>
          <w:szCs w:val="24"/>
        </w:rPr>
        <w:t>大幅上升</w:t>
      </w:r>
      <w:r w:rsidR="007551D0">
        <w:rPr>
          <w:rFonts w:ascii="楷体_GB2312" w:eastAsia="楷体_GB2312" w:hint="eastAsia"/>
          <w:sz w:val="24"/>
          <w:szCs w:val="24"/>
        </w:rPr>
        <w:t>，目前01合约平值隐含波动率高于05合约，波动率期限结构有远</w:t>
      </w:r>
      <w:proofErr w:type="gramStart"/>
      <w:r w:rsidR="007551D0">
        <w:rPr>
          <w:rFonts w:ascii="楷体_GB2312" w:eastAsia="楷体_GB2312" w:hint="eastAsia"/>
          <w:sz w:val="24"/>
          <w:szCs w:val="24"/>
        </w:rPr>
        <w:t>低近高的</w:t>
      </w:r>
      <w:proofErr w:type="gramEnd"/>
      <w:r w:rsidR="007551D0">
        <w:rPr>
          <w:rFonts w:ascii="楷体_GB2312" w:eastAsia="楷体_GB2312" w:hint="eastAsia"/>
          <w:sz w:val="24"/>
          <w:szCs w:val="24"/>
        </w:rPr>
        <w:t>形态</w:t>
      </w:r>
      <w:r w:rsidRPr="00A96A91">
        <w:rPr>
          <w:rFonts w:ascii="楷体_GB2312" w:eastAsia="楷体_GB2312" w:hint="eastAsia"/>
          <w:sz w:val="24"/>
          <w:szCs w:val="24"/>
        </w:rPr>
        <w:t>。</w:t>
      </w:r>
    </w:p>
    <w:p w14:paraId="1BC82EB7" w14:textId="4FF8F1BC" w:rsidR="00B372EF" w:rsidRPr="006C292F" w:rsidRDefault="001B1802" w:rsidP="00F00675">
      <w:pPr>
        <w:spacing w:line="400" w:lineRule="exact"/>
        <w:ind w:firstLineChars="200" w:firstLine="480"/>
        <w:rPr>
          <w:rFonts w:ascii="楷体_GB2312" w:eastAsia="楷体_GB2312"/>
          <w:color w:val="FF0000"/>
          <w:sz w:val="24"/>
          <w:szCs w:val="24"/>
        </w:rPr>
      </w:pPr>
      <w:r w:rsidRPr="00A96A91">
        <w:rPr>
          <w:rFonts w:ascii="楷体_GB2312" w:eastAsia="楷体_GB2312" w:hint="eastAsia"/>
          <w:sz w:val="24"/>
          <w:szCs w:val="24"/>
        </w:rPr>
        <w:t>依据豆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合约的隐含波动</w:t>
      </w:r>
      <w:r w:rsidR="00FE6F95" w:rsidRPr="00A96A91">
        <w:rPr>
          <w:rFonts w:ascii="楷体_GB2312" w:eastAsia="楷体_GB2312" w:hint="eastAsia"/>
          <w:sz w:val="24"/>
          <w:szCs w:val="24"/>
        </w:rPr>
        <w:t>率偏度情况看</w:t>
      </w:r>
      <w:r w:rsidR="00FE6F95" w:rsidRPr="00B87818">
        <w:rPr>
          <w:rFonts w:ascii="楷体_GB2312" w:eastAsia="楷体_GB2312" w:hint="eastAsia"/>
          <w:sz w:val="24"/>
          <w:szCs w:val="24"/>
        </w:rPr>
        <w:t>，</w:t>
      </w:r>
      <w:r w:rsidR="00B70033" w:rsidRPr="00B87818">
        <w:rPr>
          <w:rFonts w:ascii="楷体_GB2312" w:eastAsia="楷体_GB2312" w:hint="eastAsia"/>
          <w:sz w:val="24"/>
          <w:szCs w:val="24"/>
        </w:rPr>
        <w:t>本周</w:t>
      </w:r>
      <w:r w:rsidR="003647C8" w:rsidRPr="00B87818">
        <w:rPr>
          <w:rFonts w:ascii="楷体_GB2312" w:eastAsia="楷体_GB2312" w:hint="eastAsia"/>
          <w:sz w:val="24"/>
          <w:szCs w:val="24"/>
        </w:rPr>
        <w:t>豆</w:t>
      </w:r>
      <w:proofErr w:type="gramStart"/>
      <w:r w:rsidR="003647C8" w:rsidRPr="00B87818">
        <w:rPr>
          <w:rFonts w:ascii="楷体_GB2312" w:eastAsia="楷体_GB2312" w:hint="eastAsia"/>
          <w:sz w:val="24"/>
          <w:szCs w:val="24"/>
        </w:rPr>
        <w:t>粕</w:t>
      </w:r>
      <w:proofErr w:type="gramEnd"/>
      <w:r w:rsidR="00B70033" w:rsidRPr="00B87818">
        <w:rPr>
          <w:rFonts w:ascii="楷体_GB2312" w:eastAsia="楷体_GB2312" w:hint="eastAsia"/>
          <w:sz w:val="24"/>
          <w:szCs w:val="24"/>
        </w:rPr>
        <w:t>1901</w:t>
      </w:r>
      <w:r w:rsidR="00C61AC5" w:rsidRPr="00B87818">
        <w:rPr>
          <w:rFonts w:ascii="楷体_GB2312" w:eastAsia="楷体_GB2312" w:hint="eastAsia"/>
          <w:sz w:val="24"/>
          <w:szCs w:val="24"/>
        </w:rPr>
        <w:t>合约</w:t>
      </w:r>
      <w:r w:rsidR="00B3313B">
        <w:rPr>
          <w:rFonts w:ascii="楷体_GB2312" w:eastAsia="楷体_GB2312" w:hint="eastAsia"/>
          <w:sz w:val="24"/>
          <w:szCs w:val="24"/>
        </w:rPr>
        <w:t>看涨</w:t>
      </w:r>
      <w:r w:rsidR="00011C2C">
        <w:rPr>
          <w:rFonts w:ascii="楷体_GB2312" w:eastAsia="楷体_GB2312" w:hint="eastAsia"/>
          <w:sz w:val="24"/>
          <w:szCs w:val="24"/>
        </w:rPr>
        <w:t>、看跌</w:t>
      </w:r>
      <w:r w:rsidR="00B3313B">
        <w:rPr>
          <w:rFonts w:ascii="楷体_GB2312" w:eastAsia="楷体_GB2312" w:hint="eastAsia"/>
          <w:sz w:val="24"/>
          <w:szCs w:val="24"/>
        </w:rPr>
        <w:t>期权</w:t>
      </w:r>
      <w:r w:rsidR="00C61AC5" w:rsidRPr="00B87818">
        <w:rPr>
          <w:rFonts w:ascii="楷体_GB2312" w:eastAsia="楷体_GB2312" w:hint="eastAsia"/>
          <w:sz w:val="24"/>
          <w:szCs w:val="24"/>
        </w:rPr>
        <w:t>波动率</w:t>
      </w:r>
      <w:r w:rsidR="00134C4E">
        <w:rPr>
          <w:rFonts w:ascii="楷体_GB2312" w:eastAsia="楷体_GB2312" w:hint="eastAsia"/>
          <w:sz w:val="24"/>
          <w:szCs w:val="24"/>
        </w:rPr>
        <w:t>左</w:t>
      </w:r>
      <w:proofErr w:type="gramStart"/>
      <w:r w:rsidR="00134C4E">
        <w:rPr>
          <w:rFonts w:ascii="楷体_GB2312" w:eastAsia="楷体_GB2312" w:hint="eastAsia"/>
          <w:sz w:val="24"/>
          <w:szCs w:val="24"/>
        </w:rPr>
        <w:t>偏程度</w:t>
      </w:r>
      <w:proofErr w:type="gramEnd"/>
      <w:r w:rsidR="00134C4E">
        <w:rPr>
          <w:rFonts w:ascii="楷体_GB2312" w:eastAsia="楷体_GB2312" w:hint="eastAsia"/>
          <w:sz w:val="24"/>
          <w:szCs w:val="24"/>
        </w:rPr>
        <w:t>增大</w:t>
      </w:r>
      <w:r w:rsidR="00236A05" w:rsidRPr="00B87818">
        <w:rPr>
          <w:rFonts w:ascii="楷体_GB2312" w:eastAsia="楷体_GB2312" w:hint="eastAsia"/>
          <w:sz w:val="24"/>
          <w:szCs w:val="24"/>
        </w:rPr>
        <w:t>。</w:t>
      </w:r>
    </w:p>
    <w:p w14:paraId="49840F71" w14:textId="77777777" w:rsidR="00312D18" w:rsidRDefault="00312D18" w:rsidP="006F7F51">
      <w:pPr>
        <w:ind w:rightChars="-416" w:right="-874"/>
        <w:rPr>
          <w:rFonts w:ascii="楷体_GB2312" w:eastAsia="楷体_GB2312"/>
          <w:sz w:val="24"/>
          <w:szCs w:val="24"/>
        </w:rPr>
      </w:pPr>
    </w:p>
    <w:p w14:paraId="5BBF9EBE" w14:textId="061F0F47"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6F7F51">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3E823AB8" w:rsidR="00E13F5A" w:rsidRDefault="006C1F0D" w:rsidP="00056557">
      <w:pPr>
        <w:tabs>
          <w:tab w:val="num" w:pos="142"/>
        </w:tabs>
        <w:ind w:rightChars="-27" w:right="-57"/>
        <w:jc w:val="left"/>
        <w:rPr>
          <w:rFonts w:ascii="楷体_GB2312" w:eastAsia="楷体_GB2312" w:hAnsi="宋体"/>
        </w:rPr>
      </w:pPr>
      <w:r>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03F182D2">
                <wp:simplePos x="0" y="0"/>
                <wp:positionH relativeFrom="column">
                  <wp:posOffset>635</wp:posOffset>
                </wp:positionH>
                <wp:positionV relativeFrom="paragraph">
                  <wp:posOffset>11430</wp:posOffset>
                </wp:positionV>
                <wp:extent cx="5819775" cy="0"/>
                <wp:effectExtent l="0" t="19050" r="952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45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" strokecolor="teal" strokeweight="2.25pt"/>
            </w:pict>
          </mc:Fallback>
        </mc:AlternateContent>
      </w:r>
      <w:r w:rsidR="00EF7E87">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2513867A">
                <wp:simplePos x="0" y="0"/>
                <wp:positionH relativeFrom="column">
                  <wp:posOffset>67310</wp:posOffset>
                </wp:positionH>
                <wp:positionV relativeFrom="paragraph">
                  <wp:posOffset>3316605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61.15pt" to="454.5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" strokecolor="teal" strokeweight="2.25pt"/>
            </w:pict>
          </mc:Fallback>
        </mc:AlternateContent>
      </w:r>
      <w:r w:rsidR="00EF7E87" w:rsidRPr="00EF7E87">
        <w:rPr>
          <w:noProof/>
        </w:rPr>
        <w:t xml:space="preserve"> </w:t>
      </w:r>
      <w:r>
        <w:rPr>
          <w:noProof/>
        </w:rPr>
        <w:drawing>
          <wp:inline distT="0" distB="0" distL="0" distR="0" wp14:anchorId="64C19C0F" wp14:editId="67FAD55E">
            <wp:extent cx="5705475" cy="328612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F7E87">
        <w:rPr>
          <w:noProof/>
        </w:rPr>
        <w:t xml:space="preserve"> </w:t>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Default="00E13F5A" w:rsidP="00056557">
      <w:pPr>
        <w:tabs>
          <w:tab w:val="num" w:pos="142"/>
        </w:tabs>
        <w:ind w:rightChars="-27" w:right="-57"/>
        <w:jc w:val="left"/>
        <w:rPr>
          <w:rFonts w:ascii="楷体_GB2312" w:eastAsia="楷体_GB2312" w:hAnsi="宋体"/>
        </w:rPr>
      </w:pPr>
    </w:p>
    <w:p w14:paraId="7099C59F" w14:textId="77777777" w:rsidR="006F7F51" w:rsidRDefault="006F7F51" w:rsidP="00056557">
      <w:pPr>
        <w:tabs>
          <w:tab w:val="num" w:pos="142"/>
        </w:tabs>
        <w:ind w:rightChars="-27" w:right="-57"/>
        <w:jc w:val="left"/>
        <w:rPr>
          <w:rFonts w:ascii="楷体_GB2312" w:eastAsia="楷体_GB2312" w:hAnsi="宋体"/>
        </w:rPr>
      </w:pPr>
    </w:p>
    <w:p w14:paraId="563F52C1" w14:textId="77777777" w:rsidR="006F7F51" w:rsidRDefault="006F7F51" w:rsidP="00056557">
      <w:pPr>
        <w:tabs>
          <w:tab w:val="num" w:pos="142"/>
        </w:tabs>
        <w:ind w:rightChars="-27" w:right="-57"/>
        <w:jc w:val="left"/>
        <w:rPr>
          <w:rFonts w:ascii="楷体_GB2312" w:eastAsia="楷体_GB2312" w:hAnsi="宋体"/>
        </w:rPr>
      </w:pPr>
    </w:p>
    <w:p w14:paraId="431A1AA0" w14:textId="77777777" w:rsidR="00011C2C" w:rsidRDefault="00011C2C" w:rsidP="00056557">
      <w:pPr>
        <w:tabs>
          <w:tab w:val="num" w:pos="142"/>
        </w:tabs>
        <w:ind w:rightChars="-27" w:right="-57"/>
        <w:jc w:val="left"/>
        <w:rPr>
          <w:rFonts w:ascii="楷体_GB2312" w:eastAsia="楷体_GB2312" w:hAnsi="宋体"/>
        </w:rPr>
      </w:pPr>
    </w:p>
    <w:p w14:paraId="4B4DA3DD" w14:textId="77777777" w:rsidR="00DC33F0" w:rsidRDefault="00DC33F0" w:rsidP="00056557">
      <w:pPr>
        <w:tabs>
          <w:tab w:val="num" w:pos="142"/>
        </w:tabs>
        <w:ind w:rightChars="-27" w:right="-57"/>
        <w:jc w:val="left"/>
        <w:rPr>
          <w:rFonts w:ascii="楷体_GB2312" w:eastAsia="楷体_GB2312" w:hAnsi="宋体"/>
        </w:rPr>
      </w:pPr>
    </w:p>
    <w:p w14:paraId="7C942A1A" w14:textId="77777777" w:rsidR="00DC33F0" w:rsidRPr="00A9605A" w:rsidRDefault="00DC33F0" w:rsidP="00056557">
      <w:pPr>
        <w:tabs>
          <w:tab w:val="num" w:pos="142"/>
        </w:tabs>
        <w:ind w:rightChars="-27" w:right="-57"/>
        <w:jc w:val="left"/>
        <w:rPr>
          <w:rFonts w:ascii="楷体_GB2312" w:eastAsia="楷体_GB2312" w:hAnsi="宋体"/>
        </w:rPr>
      </w:pPr>
    </w:p>
    <w:p w14:paraId="50D51B84" w14:textId="0368AEB0"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6F7F51">
        <w:rPr>
          <w:rFonts w:ascii="楷体_GB2312" w:eastAsia="楷体_GB2312" w:hAnsi="宋体" w:hint="eastAsia"/>
          <w:b/>
        </w:rPr>
        <w:t>4</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325EE69C"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4A020E">
        <w:rPr>
          <w:noProof/>
        </w:rPr>
        <w:drawing>
          <wp:inline distT="0" distB="0" distL="0" distR="0" wp14:anchorId="7D33A21C" wp14:editId="1181ECE4">
            <wp:extent cx="5607050" cy="3733800"/>
            <wp:effectExtent l="0" t="0" r="12700" b="19050"/>
            <wp:docPr id="4" name="图表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F7E87">
        <w:rPr>
          <w:noProof/>
        </w:rPr>
        <w:t xml:space="preserve"> </w:t>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0DAD2ED6"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sidR="006F7F51">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191012DB"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01AD0E40">
                <wp:simplePos x="0" y="0"/>
                <wp:positionH relativeFrom="column">
                  <wp:posOffset>-5715</wp:posOffset>
                </wp:positionH>
                <wp:positionV relativeFrom="paragraph">
                  <wp:posOffset>3292475</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9.25pt" to="460.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4A020E">
        <w:rPr>
          <w:noProof/>
        </w:rPr>
        <w:drawing>
          <wp:inline distT="0" distB="0" distL="0" distR="0" wp14:anchorId="61727CE0" wp14:editId="0DC2FA17">
            <wp:extent cx="5772150" cy="3162300"/>
            <wp:effectExtent l="0" t="0" r="19050" b="19050"/>
            <wp:docPr id="5" name="图表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7E87">
        <w:rPr>
          <w:noProof/>
        </w:rPr>
        <w:t xml:space="preserve"> </w:t>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7EA8A5A" w14:textId="77777777" w:rsidR="006F7F51" w:rsidRPr="00F24176" w:rsidRDefault="006F7F51" w:rsidP="00375911">
      <w:pPr>
        <w:spacing w:line="400" w:lineRule="exact"/>
        <w:rPr>
          <w:rFonts w:ascii="楷体_GB2312" w:eastAsia="楷体_GB2312" w:hAnsi="楷体"/>
          <w:b/>
        </w:rPr>
      </w:pPr>
    </w:p>
    <w:p w14:paraId="2C19986F" w14:textId="743F31C1"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sidR="006F7F51">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71303561" w:rsidR="007477ED" w:rsidRPr="0064690A" w:rsidRDefault="004A020E" w:rsidP="007477ED">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08A362EE">
                <wp:simplePos x="0" y="0"/>
                <wp:positionH relativeFrom="column">
                  <wp:posOffset>-8255</wp:posOffset>
                </wp:positionH>
                <wp:positionV relativeFrom="paragraph">
                  <wp:posOffset>3920490</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08.7pt" to="467.0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" strokecolor="teal" strokeweight="2.25pt"/>
            </w:pict>
          </mc:Fallback>
        </mc:AlternateContent>
      </w:r>
      <w:r w:rsidR="00EF7E87">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617CB7C8">
                <wp:simplePos x="0" y="0"/>
                <wp:positionH relativeFrom="column">
                  <wp:posOffset>-8255</wp:posOffset>
                </wp:positionH>
                <wp:positionV relativeFrom="paragraph">
                  <wp:posOffset>233680</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4pt" to="46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" strokecolor="teal" strokeweight="2.25pt"/>
            </w:pict>
          </mc:Fallback>
        </mc:AlternateContent>
      </w:r>
      <w:r w:rsidR="007477ED" w:rsidRPr="005B67FD">
        <w:rPr>
          <w:noProof/>
        </w:rPr>
        <w:t xml:space="preserve"> </w:t>
      </w:r>
      <w:r>
        <w:rPr>
          <w:noProof/>
        </w:rPr>
        <w:drawing>
          <wp:inline distT="0" distB="0" distL="0" distR="0" wp14:anchorId="3A968EFB" wp14:editId="59D304D8">
            <wp:extent cx="5863590" cy="3676650"/>
            <wp:effectExtent l="0" t="0" r="22860" b="19050"/>
            <wp:docPr id="3" name="图表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F7E87">
        <w:rPr>
          <w:noProof/>
        </w:rPr>
        <w:t xml:space="preserve"> </w:t>
      </w:r>
    </w:p>
    <w:p w14:paraId="00AEB5E0" w14:textId="386E8978" w:rsidR="00312D18" w:rsidRDefault="00312D18" w:rsidP="00375911">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3E200884" w14:textId="77777777" w:rsidR="00EF7E87" w:rsidRPr="00591CA5" w:rsidRDefault="00EF7E87" w:rsidP="00375911">
      <w:pPr>
        <w:tabs>
          <w:tab w:val="num" w:pos="142"/>
        </w:tabs>
        <w:ind w:rightChars="-27" w:right="-57"/>
        <w:jc w:val="left"/>
        <w:rPr>
          <w:rFonts w:ascii="楷体_GB2312" w:eastAsia="楷体_GB2312" w:hAnsi="宋体"/>
        </w:rPr>
      </w:pPr>
    </w:p>
    <w:p w14:paraId="3470EADD" w14:textId="2F96F6EF" w:rsidR="00563C13" w:rsidRPr="00563C13" w:rsidRDefault="00375911" w:rsidP="00563C13">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7589DD00" w14:textId="289A7DAF" w:rsidR="00134C4E" w:rsidRDefault="00134C4E" w:rsidP="00134C4E">
      <w:pPr>
        <w:spacing w:line="400" w:lineRule="exact"/>
        <w:ind w:firstLineChars="200" w:firstLine="480"/>
        <w:rPr>
          <w:rFonts w:ascii="楷体_GB2312" w:eastAsia="楷体_GB2312" w:hint="eastAsia"/>
          <w:sz w:val="24"/>
          <w:szCs w:val="24"/>
        </w:rPr>
      </w:pPr>
      <w:r w:rsidRPr="00761B35">
        <w:rPr>
          <w:rFonts w:ascii="楷体_GB2312" w:eastAsia="楷体_GB2312" w:hint="eastAsia"/>
          <w:sz w:val="24"/>
          <w:szCs w:val="24"/>
        </w:rPr>
        <w:t>国庆长假</w:t>
      </w:r>
      <w:proofErr w:type="gramStart"/>
      <w:r w:rsidRPr="00761B35">
        <w:rPr>
          <w:rFonts w:ascii="楷体_GB2312" w:eastAsia="楷体_GB2312" w:hint="eastAsia"/>
          <w:sz w:val="24"/>
          <w:szCs w:val="24"/>
        </w:rPr>
        <w:t>期间美豆略涨</w:t>
      </w:r>
      <w:proofErr w:type="gramEnd"/>
      <w:r w:rsidRPr="00761B35">
        <w:rPr>
          <w:rFonts w:ascii="楷体_GB2312" w:eastAsia="楷体_GB2312" w:hint="eastAsia"/>
          <w:sz w:val="24"/>
          <w:szCs w:val="24"/>
        </w:rPr>
        <w:t>，11月合约收于869.2，较上周五上涨2.96%，长假期间</w:t>
      </w:r>
      <w:proofErr w:type="gramStart"/>
      <w:r w:rsidRPr="00761B35">
        <w:rPr>
          <w:rFonts w:ascii="楷体_GB2312" w:eastAsia="楷体_GB2312" w:hint="eastAsia"/>
          <w:sz w:val="24"/>
          <w:szCs w:val="24"/>
        </w:rPr>
        <w:t>美豆并</w:t>
      </w:r>
      <w:proofErr w:type="gramEnd"/>
      <w:r w:rsidRPr="00761B35">
        <w:rPr>
          <w:rFonts w:ascii="楷体_GB2312" w:eastAsia="楷体_GB2312" w:hint="eastAsia"/>
          <w:sz w:val="24"/>
          <w:szCs w:val="24"/>
        </w:rPr>
        <w:t>无实质性利好出现。消息面上，中国外交部宣布美国国务卿将于10月8日访华，双方将就中美关系及共同关心的国际和地区问题交换意见，可能会推动重</w:t>
      </w:r>
      <w:proofErr w:type="gramStart"/>
      <w:r w:rsidRPr="00761B35">
        <w:rPr>
          <w:rFonts w:ascii="楷体_GB2312" w:eastAsia="楷体_GB2312" w:hint="eastAsia"/>
          <w:sz w:val="24"/>
          <w:szCs w:val="24"/>
        </w:rPr>
        <w:t>启贸易</w:t>
      </w:r>
      <w:proofErr w:type="gramEnd"/>
      <w:r w:rsidRPr="00761B35">
        <w:rPr>
          <w:rFonts w:ascii="楷体_GB2312" w:eastAsia="楷体_GB2312" w:hint="eastAsia"/>
          <w:sz w:val="24"/>
          <w:szCs w:val="24"/>
        </w:rPr>
        <w:t>谈判。综合来看，</w:t>
      </w:r>
      <w:proofErr w:type="gramStart"/>
      <w:r w:rsidRPr="00761B35">
        <w:rPr>
          <w:rFonts w:ascii="楷体_GB2312" w:eastAsia="楷体_GB2312" w:hint="eastAsia"/>
          <w:sz w:val="24"/>
          <w:szCs w:val="24"/>
        </w:rPr>
        <w:t>美豆不</w:t>
      </w:r>
      <w:proofErr w:type="gramEnd"/>
      <w:r w:rsidRPr="00761B35">
        <w:rPr>
          <w:rFonts w:ascii="楷体_GB2312" w:eastAsia="楷体_GB2312" w:hint="eastAsia"/>
          <w:sz w:val="24"/>
          <w:szCs w:val="24"/>
        </w:rPr>
        <w:t>具备持续上涨动力，近期出口销售虽有所增加，但不足以消化中国买家撤出后的巨大结余。在贸易战持续的背景下，</w:t>
      </w:r>
      <w:proofErr w:type="gramStart"/>
      <w:r w:rsidRPr="00761B35">
        <w:rPr>
          <w:rFonts w:ascii="楷体_GB2312" w:eastAsia="楷体_GB2312" w:hint="eastAsia"/>
          <w:sz w:val="24"/>
          <w:szCs w:val="24"/>
        </w:rPr>
        <w:t>美豆和</w:t>
      </w:r>
      <w:proofErr w:type="gramEnd"/>
      <w:r w:rsidRPr="00761B35">
        <w:rPr>
          <w:rFonts w:ascii="楷体_GB2312" w:eastAsia="楷体_GB2312" w:hint="eastAsia"/>
          <w:sz w:val="24"/>
          <w:szCs w:val="24"/>
        </w:rPr>
        <w:t>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的走势无明显相关性，对于国内市场而言，基本上是对于</w:t>
      </w:r>
      <w:proofErr w:type="gramStart"/>
      <w:r w:rsidRPr="00761B35">
        <w:rPr>
          <w:rFonts w:ascii="楷体_GB2312" w:eastAsia="楷体_GB2312" w:hint="eastAsia"/>
          <w:sz w:val="24"/>
          <w:szCs w:val="24"/>
        </w:rPr>
        <w:t>未来缺豆的</w:t>
      </w:r>
      <w:proofErr w:type="gramEnd"/>
      <w:r w:rsidRPr="00761B35">
        <w:rPr>
          <w:rFonts w:ascii="楷体_GB2312" w:eastAsia="楷体_GB2312" w:hint="eastAsia"/>
          <w:sz w:val="24"/>
          <w:szCs w:val="24"/>
        </w:rPr>
        <w:t>一致预期，</w:t>
      </w:r>
      <w:proofErr w:type="gramStart"/>
      <w:r w:rsidRPr="00761B35">
        <w:rPr>
          <w:rFonts w:ascii="楷体_GB2312" w:eastAsia="楷体_GB2312" w:hint="eastAsia"/>
          <w:sz w:val="24"/>
          <w:szCs w:val="24"/>
        </w:rPr>
        <w:t>若政策</w:t>
      </w:r>
      <w:proofErr w:type="gramEnd"/>
      <w:r w:rsidRPr="00761B35">
        <w:rPr>
          <w:rFonts w:ascii="楷体_GB2312" w:eastAsia="楷体_GB2312" w:hint="eastAsia"/>
          <w:sz w:val="24"/>
          <w:szCs w:val="24"/>
        </w:rPr>
        <w:t>面出现缓解迹象，连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将出现大幅波动，在政策面无明显异动的情况下，连</w:t>
      </w:r>
      <w:proofErr w:type="gramStart"/>
      <w:r w:rsidRPr="00761B35">
        <w:rPr>
          <w:rFonts w:ascii="楷体_GB2312" w:eastAsia="楷体_GB2312" w:hint="eastAsia"/>
          <w:sz w:val="24"/>
          <w:szCs w:val="24"/>
        </w:rPr>
        <w:t>粕</w:t>
      </w:r>
      <w:proofErr w:type="gramEnd"/>
      <w:r w:rsidRPr="00761B35">
        <w:rPr>
          <w:rFonts w:ascii="楷体_GB2312" w:eastAsia="楷体_GB2312" w:hint="eastAsia"/>
          <w:sz w:val="24"/>
          <w:szCs w:val="24"/>
        </w:rPr>
        <w:t>将继续强势表现</w:t>
      </w:r>
      <w:r w:rsidR="00900334">
        <w:rPr>
          <w:rFonts w:ascii="楷体_GB2312" w:eastAsia="楷体_GB2312" w:hint="eastAsia"/>
          <w:sz w:val="24"/>
          <w:szCs w:val="24"/>
        </w:rPr>
        <w:t>。</w:t>
      </w:r>
    </w:p>
    <w:p w14:paraId="54CCA572" w14:textId="621DBEA9" w:rsidR="00134C4E" w:rsidRPr="00011C2C" w:rsidRDefault="00E13F5A" w:rsidP="00134C4E">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00134C4E">
        <w:rPr>
          <w:rFonts w:ascii="楷体_GB2312" w:eastAsia="楷体_GB2312" w:hint="eastAsia"/>
          <w:sz w:val="24"/>
          <w:szCs w:val="24"/>
        </w:rPr>
        <w:t>，</w:t>
      </w:r>
      <w:r w:rsidR="00134C4E" w:rsidRPr="00011C2C">
        <w:rPr>
          <w:rFonts w:ascii="楷体_GB2312" w:eastAsia="楷体_GB2312" w:hint="eastAsia"/>
          <w:sz w:val="24"/>
          <w:szCs w:val="24"/>
        </w:rPr>
        <w:t>截至2018年9月</w:t>
      </w:r>
      <w:r w:rsidR="00134C4E">
        <w:rPr>
          <w:rFonts w:ascii="楷体_GB2312" w:eastAsia="楷体_GB2312" w:hint="eastAsia"/>
          <w:sz w:val="24"/>
          <w:szCs w:val="24"/>
        </w:rPr>
        <w:t>28</w:t>
      </w:r>
      <w:r w:rsidR="00134C4E" w:rsidRPr="00011C2C">
        <w:rPr>
          <w:rFonts w:ascii="楷体_GB2312" w:eastAsia="楷体_GB2312" w:hint="eastAsia"/>
          <w:sz w:val="24"/>
          <w:szCs w:val="24"/>
        </w:rPr>
        <w:t>日，本周豆</w:t>
      </w:r>
      <w:proofErr w:type="gramStart"/>
      <w:r w:rsidR="00134C4E" w:rsidRPr="00011C2C">
        <w:rPr>
          <w:rFonts w:ascii="楷体_GB2312" w:eastAsia="楷体_GB2312" w:hint="eastAsia"/>
          <w:sz w:val="24"/>
          <w:szCs w:val="24"/>
        </w:rPr>
        <w:t>粕期权总</w:t>
      </w:r>
      <w:proofErr w:type="gramEnd"/>
      <w:r w:rsidR="00134C4E" w:rsidRPr="00011C2C">
        <w:rPr>
          <w:rFonts w:ascii="楷体_GB2312" w:eastAsia="楷体_GB2312" w:hint="eastAsia"/>
          <w:sz w:val="24"/>
          <w:szCs w:val="24"/>
        </w:rPr>
        <w:t>持仓量为</w:t>
      </w:r>
      <w:r w:rsidR="00134C4E">
        <w:rPr>
          <w:rFonts w:ascii="楷体_GB2312" w:eastAsia="楷体_GB2312" w:hint="eastAsia"/>
          <w:sz w:val="24"/>
          <w:szCs w:val="24"/>
        </w:rPr>
        <w:t>51.91</w:t>
      </w:r>
      <w:r w:rsidR="00134C4E" w:rsidRPr="00011C2C">
        <w:rPr>
          <w:rFonts w:ascii="楷体_GB2312" w:eastAsia="楷体_GB2312" w:hint="eastAsia"/>
          <w:sz w:val="24"/>
          <w:szCs w:val="24"/>
        </w:rPr>
        <w:t>万张</w:t>
      </w:r>
      <w:r w:rsidR="00134C4E">
        <w:rPr>
          <w:rFonts w:ascii="楷体_GB2312" w:eastAsia="楷体_GB2312" w:hint="eastAsia"/>
          <w:sz w:val="24"/>
          <w:szCs w:val="24"/>
        </w:rPr>
        <w:t>，</w:t>
      </w:r>
      <w:r w:rsidR="00134C4E" w:rsidRPr="00011C2C">
        <w:rPr>
          <w:rFonts w:ascii="楷体_GB2312" w:eastAsia="楷体_GB2312" w:hint="eastAsia"/>
          <w:sz w:val="24"/>
          <w:szCs w:val="24"/>
        </w:rPr>
        <w:t>总成交量较上周</w:t>
      </w:r>
      <w:r w:rsidR="00134C4E">
        <w:rPr>
          <w:rFonts w:ascii="楷体_GB2312" w:eastAsia="楷体_GB2312" w:hint="eastAsia"/>
          <w:sz w:val="24"/>
          <w:szCs w:val="24"/>
        </w:rPr>
        <w:t>大幅上升72%</w:t>
      </w:r>
      <w:r w:rsidR="00134C4E" w:rsidRPr="00011C2C">
        <w:rPr>
          <w:rFonts w:ascii="楷体_GB2312" w:eastAsia="楷体_GB2312" w:hint="eastAsia"/>
          <w:sz w:val="24"/>
          <w:szCs w:val="24"/>
        </w:rPr>
        <w:t>，平均日成交量</w:t>
      </w:r>
      <w:r w:rsidR="00134C4E">
        <w:rPr>
          <w:rFonts w:ascii="楷体_GB2312" w:eastAsia="楷体_GB2312" w:hint="eastAsia"/>
          <w:sz w:val="24"/>
          <w:szCs w:val="24"/>
        </w:rPr>
        <w:t>17</w:t>
      </w:r>
      <w:r w:rsidR="00134C4E" w:rsidRPr="00011C2C">
        <w:rPr>
          <w:rFonts w:ascii="楷体_GB2312" w:eastAsia="楷体_GB2312" w:hint="eastAsia"/>
          <w:sz w:val="24"/>
          <w:szCs w:val="24"/>
        </w:rPr>
        <w:t>万张</w:t>
      </w:r>
      <w:r w:rsidR="00134C4E">
        <w:rPr>
          <w:rFonts w:ascii="楷体_GB2312" w:eastAsia="楷体_GB2312" w:hint="eastAsia"/>
          <w:sz w:val="24"/>
          <w:szCs w:val="24"/>
        </w:rPr>
        <w:t>（双边）</w:t>
      </w:r>
      <w:r w:rsidR="00134C4E" w:rsidRPr="00011C2C">
        <w:rPr>
          <w:rFonts w:ascii="楷体_GB2312" w:eastAsia="楷体_GB2312" w:hint="eastAsia"/>
          <w:sz w:val="24"/>
          <w:szCs w:val="24"/>
        </w:rPr>
        <w:t>。目前市场支撑位和压力位</w:t>
      </w:r>
      <w:r w:rsidR="00134C4E">
        <w:rPr>
          <w:rFonts w:ascii="楷体_GB2312" w:eastAsia="楷体_GB2312" w:hint="eastAsia"/>
          <w:sz w:val="24"/>
          <w:szCs w:val="24"/>
        </w:rPr>
        <w:t>重心有所上升</w:t>
      </w:r>
      <w:r w:rsidR="00134C4E" w:rsidRPr="00011C2C">
        <w:rPr>
          <w:rFonts w:ascii="楷体_GB2312" w:eastAsia="楷体_GB2312" w:hint="eastAsia"/>
          <w:sz w:val="24"/>
          <w:szCs w:val="24"/>
        </w:rPr>
        <w:t>。豆</w:t>
      </w:r>
      <w:proofErr w:type="gramStart"/>
      <w:r w:rsidR="00134C4E" w:rsidRPr="00011C2C">
        <w:rPr>
          <w:rFonts w:ascii="楷体_GB2312" w:eastAsia="楷体_GB2312" w:hint="eastAsia"/>
          <w:sz w:val="24"/>
          <w:szCs w:val="24"/>
        </w:rPr>
        <w:t>粕</w:t>
      </w:r>
      <w:proofErr w:type="gramEnd"/>
      <w:r w:rsidR="00134C4E" w:rsidRPr="00011C2C">
        <w:rPr>
          <w:rFonts w:ascii="楷体_GB2312" w:eastAsia="楷体_GB2312" w:hint="eastAsia"/>
          <w:sz w:val="24"/>
          <w:szCs w:val="24"/>
        </w:rPr>
        <w:t>合约</w:t>
      </w:r>
      <w:proofErr w:type="gramStart"/>
      <w:r w:rsidR="00134C4E" w:rsidRPr="00011C2C">
        <w:rPr>
          <w:rFonts w:ascii="楷体_GB2312" w:eastAsia="楷体_GB2312" w:hint="eastAsia"/>
          <w:sz w:val="24"/>
          <w:szCs w:val="24"/>
        </w:rPr>
        <w:t>期权总</w:t>
      </w:r>
      <w:proofErr w:type="gramEnd"/>
      <w:r w:rsidR="00134C4E" w:rsidRPr="00011C2C">
        <w:rPr>
          <w:rFonts w:ascii="楷体_GB2312" w:eastAsia="楷体_GB2312" w:hint="eastAsia"/>
          <w:sz w:val="24"/>
          <w:szCs w:val="24"/>
        </w:rPr>
        <w:t>持仓量PCR较上周</w:t>
      </w:r>
      <w:r w:rsidR="00134C4E">
        <w:rPr>
          <w:rFonts w:ascii="楷体_GB2312" w:eastAsia="楷体_GB2312" w:hint="eastAsia"/>
          <w:sz w:val="24"/>
          <w:szCs w:val="24"/>
        </w:rPr>
        <w:t>呈上升趋势</w:t>
      </w:r>
      <w:r w:rsidR="00134C4E" w:rsidRPr="00011C2C">
        <w:rPr>
          <w:rFonts w:ascii="楷体_GB2312" w:eastAsia="楷体_GB2312" w:hint="eastAsia"/>
          <w:sz w:val="24"/>
          <w:szCs w:val="24"/>
        </w:rPr>
        <w:t>，平均</w:t>
      </w:r>
      <w:r w:rsidR="00134C4E">
        <w:rPr>
          <w:rFonts w:ascii="楷体_GB2312" w:eastAsia="楷体_GB2312" w:hint="eastAsia"/>
          <w:sz w:val="24"/>
          <w:szCs w:val="24"/>
        </w:rPr>
        <w:t>1.14，上升6.54%</w:t>
      </w:r>
      <w:r w:rsidR="00134C4E" w:rsidRPr="00011C2C">
        <w:rPr>
          <w:rFonts w:ascii="楷体_GB2312" w:eastAsia="楷体_GB2312" w:hint="eastAsia"/>
          <w:sz w:val="24"/>
          <w:szCs w:val="24"/>
        </w:rPr>
        <w:t>。从整体</w:t>
      </w:r>
      <w:r w:rsidR="00134C4E">
        <w:rPr>
          <w:rFonts w:ascii="楷体_GB2312" w:eastAsia="楷体_GB2312" w:hint="eastAsia"/>
          <w:sz w:val="24"/>
          <w:szCs w:val="24"/>
        </w:rPr>
        <w:t>来</w:t>
      </w:r>
      <w:r w:rsidR="00134C4E" w:rsidRPr="00011C2C">
        <w:rPr>
          <w:rFonts w:ascii="楷体_GB2312" w:eastAsia="楷体_GB2312" w:hint="eastAsia"/>
          <w:sz w:val="24"/>
          <w:szCs w:val="24"/>
        </w:rPr>
        <w:t>看</w:t>
      </w:r>
      <w:r w:rsidR="00134C4E">
        <w:rPr>
          <w:rFonts w:ascii="楷体_GB2312" w:eastAsia="楷体_GB2312" w:hint="eastAsia"/>
          <w:sz w:val="24"/>
          <w:szCs w:val="24"/>
        </w:rPr>
        <w:t>，</w:t>
      </w:r>
      <w:r w:rsidR="00134C4E" w:rsidRPr="00011C2C">
        <w:rPr>
          <w:rFonts w:ascii="楷体_GB2312" w:eastAsia="楷体_GB2312" w:hint="eastAsia"/>
          <w:sz w:val="24"/>
          <w:szCs w:val="24"/>
        </w:rPr>
        <w:t>目前市场投资者情绪</w:t>
      </w:r>
      <w:r w:rsidR="00134C4E">
        <w:rPr>
          <w:rFonts w:ascii="楷体_GB2312" w:eastAsia="楷体_GB2312" w:hint="eastAsia"/>
          <w:sz w:val="24"/>
          <w:szCs w:val="24"/>
        </w:rPr>
        <w:t>偏乐观</w:t>
      </w:r>
      <w:r w:rsidR="00134C4E" w:rsidRPr="00011C2C">
        <w:rPr>
          <w:rFonts w:ascii="楷体_GB2312" w:eastAsia="楷体_GB2312" w:hint="eastAsia"/>
          <w:sz w:val="24"/>
          <w:szCs w:val="24"/>
        </w:rPr>
        <w:t>。</w:t>
      </w:r>
    </w:p>
    <w:p w14:paraId="381BA58D" w14:textId="2A28345C" w:rsidR="00860F60" w:rsidRPr="003771C1" w:rsidRDefault="00134C4E" w:rsidP="00134C4E">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w:t>
      </w:r>
      <w:r>
        <w:rPr>
          <w:rFonts w:ascii="楷体_GB2312" w:eastAsia="楷体_GB2312" w:hint="eastAsia"/>
          <w:sz w:val="24"/>
          <w:szCs w:val="24"/>
        </w:rPr>
        <w:t>在周五受假期影响大幅上升，9月28日</w:t>
      </w:r>
      <w:proofErr w:type="gramStart"/>
      <w:r>
        <w:rPr>
          <w:rFonts w:ascii="楷体_GB2312" w:eastAsia="楷体_GB2312" w:hint="eastAsia"/>
          <w:sz w:val="24"/>
          <w:szCs w:val="24"/>
        </w:rPr>
        <w:t>周五</w:t>
      </w:r>
      <w:r w:rsidRPr="00A96A91">
        <w:rPr>
          <w:rFonts w:ascii="楷体_GB2312" w:eastAsia="楷体_GB2312" w:hint="eastAsia"/>
          <w:sz w:val="24"/>
          <w:szCs w:val="24"/>
        </w:rPr>
        <w:t>平</w:t>
      </w:r>
      <w:proofErr w:type="gramEnd"/>
      <w:r w:rsidRPr="00A96A91">
        <w:rPr>
          <w:rFonts w:ascii="楷体_GB2312" w:eastAsia="楷体_GB2312" w:hint="eastAsia"/>
          <w:sz w:val="24"/>
          <w:szCs w:val="24"/>
        </w:rPr>
        <w:t>值期权的隐含波动率为</w:t>
      </w:r>
      <w:r>
        <w:rPr>
          <w:rFonts w:ascii="楷体_GB2312" w:eastAsia="楷体_GB2312" w:hint="eastAsia"/>
          <w:sz w:val="24"/>
          <w:szCs w:val="24"/>
        </w:rPr>
        <w:t>21.70</w:t>
      </w:r>
      <w:r w:rsidRPr="00A96A91">
        <w:rPr>
          <w:rFonts w:ascii="楷体_GB2312" w:eastAsia="楷体_GB2312" w:hint="eastAsia"/>
          <w:sz w:val="24"/>
          <w:szCs w:val="24"/>
        </w:rPr>
        <w:t>%</w:t>
      </w:r>
      <w:r>
        <w:rPr>
          <w:rFonts w:ascii="楷体_GB2312" w:eastAsia="楷体_GB2312" w:hint="eastAsia"/>
          <w:sz w:val="24"/>
          <w:szCs w:val="24"/>
        </w:rPr>
        <w:t>；而</w:t>
      </w:r>
      <w:r w:rsidRPr="00A96A91">
        <w:rPr>
          <w:rFonts w:ascii="楷体_GB2312" w:eastAsia="楷体_GB2312" w:hint="eastAsia"/>
          <w:sz w:val="24"/>
          <w:szCs w:val="24"/>
        </w:rPr>
        <w:t>30日历史波动率为</w:t>
      </w:r>
      <w:r>
        <w:rPr>
          <w:rFonts w:ascii="楷体_GB2312" w:eastAsia="楷体_GB2312" w:hint="eastAsia"/>
          <w:sz w:val="24"/>
          <w:szCs w:val="24"/>
        </w:rPr>
        <w:t>19.08</w:t>
      </w:r>
      <w:r w:rsidRPr="00A96A91">
        <w:rPr>
          <w:rFonts w:ascii="楷体_GB2312" w:eastAsia="楷体_GB2312" w:hint="eastAsia"/>
          <w:sz w:val="24"/>
          <w:szCs w:val="24"/>
        </w:rPr>
        <w:t>%。</w:t>
      </w:r>
      <w:r>
        <w:rPr>
          <w:rFonts w:ascii="楷体_GB2312" w:eastAsia="楷体_GB2312" w:hint="eastAsia"/>
          <w:sz w:val="24"/>
          <w:szCs w:val="24"/>
        </w:rPr>
        <w:lastRenderedPageBreak/>
        <w:t>历史波动率重心有所下移，隐含</w:t>
      </w:r>
      <w:proofErr w:type="gramStart"/>
      <w:r>
        <w:rPr>
          <w:rFonts w:ascii="楷体_GB2312" w:eastAsia="楷体_GB2312" w:hint="eastAsia"/>
          <w:sz w:val="24"/>
          <w:szCs w:val="24"/>
        </w:rPr>
        <w:t>波动率受国庆</w:t>
      </w:r>
      <w:proofErr w:type="gramEnd"/>
      <w:r>
        <w:rPr>
          <w:rFonts w:ascii="楷体_GB2312" w:eastAsia="楷体_GB2312" w:hint="eastAsia"/>
          <w:sz w:val="24"/>
          <w:szCs w:val="24"/>
        </w:rPr>
        <w:t>假期影响表现出正常的上涨，预计节后隐含波动率先上升后回落的概率较大</w:t>
      </w:r>
      <w:r w:rsidRPr="00A96A91">
        <w:rPr>
          <w:rFonts w:ascii="楷体_GB2312" w:eastAsia="楷体_GB2312" w:hint="eastAsia"/>
          <w:sz w:val="24"/>
          <w:szCs w:val="24"/>
        </w:rPr>
        <w:t>。</w:t>
      </w: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分布图来看，9月28日</w:t>
      </w:r>
      <w:r w:rsidRPr="001B1802">
        <w:rPr>
          <w:rFonts w:ascii="楷体_GB2312" w:eastAsia="楷体_GB2312" w:hint="eastAsia"/>
          <w:sz w:val="24"/>
          <w:szCs w:val="24"/>
        </w:rPr>
        <w:t>大商所豆</w:t>
      </w:r>
      <w:proofErr w:type="gramStart"/>
      <w:r w:rsidRPr="001B1802">
        <w:rPr>
          <w:rFonts w:ascii="楷体_GB2312" w:eastAsia="楷体_GB2312" w:hint="eastAsia"/>
          <w:sz w:val="24"/>
          <w:szCs w:val="24"/>
        </w:rPr>
        <w:t>粕</w:t>
      </w:r>
      <w:proofErr w:type="gramEnd"/>
      <w:r>
        <w:rPr>
          <w:rFonts w:ascii="楷体_GB2312" w:eastAsia="楷体_GB2312" w:hint="eastAsia"/>
          <w:sz w:val="24"/>
          <w:szCs w:val="24"/>
        </w:rPr>
        <w:t>5日历史</w:t>
      </w:r>
      <w:proofErr w:type="gramStart"/>
      <w:r>
        <w:rPr>
          <w:rFonts w:ascii="楷体_GB2312" w:eastAsia="楷体_GB2312" w:hint="eastAsia"/>
          <w:sz w:val="24"/>
          <w:szCs w:val="24"/>
        </w:rPr>
        <w:t>波动率重回</w:t>
      </w:r>
      <w:proofErr w:type="gramEnd"/>
      <w:r>
        <w:rPr>
          <w:rFonts w:ascii="楷体_GB2312" w:eastAsia="楷体_GB2312" w:hint="eastAsia"/>
          <w:sz w:val="24"/>
          <w:szCs w:val="24"/>
        </w:rPr>
        <w:t>中分位附近，而10日、20日历史波动率仍在中分位以下，较上周有所下降。预计近期豆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历史波动率将呈现震荡趋势。</w:t>
      </w:r>
    </w:p>
    <w:p w14:paraId="37ECBAA3" w14:textId="020C65AA" w:rsidR="006B0602" w:rsidRDefault="00563C13" w:rsidP="00591CA5">
      <w:pPr>
        <w:spacing w:line="400" w:lineRule="exact"/>
        <w:ind w:firstLineChars="200" w:firstLine="480"/>
        <w:rPr>
          <w:rFonts w:ascii="楷体_GB2312" w:eastAsia="楷体_GB2312"/>
          <w:sz w:val="24"/>
          <w:szCs w:val="24"/>
        </w:rPr>
      </w:pPr>
      <w:r>
        <w:rPr>
          <w:rFonts w:ascii="楷体_GB2312" w:eastAsia="楷体_GB2312" w:hint="eastAsia"/>
          <w:sz w:val="24"/>
          <w:szCs w:val="24"/>
        </w:rPr>
        <w:t>策略上，</w:t>
      </w:r>
      <w:r w:rsidR="00E13F5A" w:rsidRPr="00D76592">
        <w:rPr>
          <w:rFonts w:ascii="楷体_GB2312" w:eastAsia="楷体_GB2312"/>
          <w:sz w:val="24"/>
          <w:szCs w:val="24"/>
        </w:rPr>
        <w:t>近期豆</w:t>
      </w:r>
      <w:proofErr w:type="gramStart"/>
      <w:r w:rsidR="00E13F5A" w:rsidRPr="00D76592">
        <w:rPr>
          <w:rFonts w:ascii="楷体_GB2312" w:eastAsia="楷体_GB2312"/>
          <w:sz w:val="24"/>
          <w:szCs w:val="24"/>
        </w:rPr>
        <w:t>粕</w:t>
      </w:r>
      <w:proofErr w:type="gramEnd"/>
      <w:r w:rsidR="00E13F5A" w:rsidRPr="00D76592">
        <w:rPr>
          <w:rFonts w:ascii="楷体_GB2312" w:eastAsia="楷体_GB2312"/>
          <w:sz w:val="24"/>
          <w:szCs w:val="24"/>
        </w:rPr>
        <w:t>市场</w:t>
      </w:r>
      <w:r w:rsidR="00900334" w:rsidRPr="00761B35">
        <w:rPr>
          <w:rFonts w:ascii="楷体_GB2312" w:eastAsia="楷体_GB2312" w:hint="eastAsia"/>
          <w:sz w:val="24"/>
          <w:szCs w:val="24"/>
        </w:rPr>
        <w:t>在贸易战持续的背景下，</w:t>
      </w:r>
      <w:r w:rsidR="00900334">
        <w:rPr>
          <w:rFonts w:ascii="楷体_GB2312" w:eastAsia="楷体_GB2312" w:hint="eastAsia"/>
          <w:sz w:val="24"/>
          <w:szCs w:val="24"/>
        </w:rPr>
        <w:t>波动率明显上升，</w:t>
      </w:r>
      <w:r w:rsidR="00134C4E">
        <w:rPr>
          <w:rFonts w:ascii="楷体_GB2312" w:eastAsia="楷体_GB2312" w:hint="eastAsia"/>
          <w:sz w:val="24"/>
          <w:szCs w:val="24"/>
        </w:rPr>
        <w:t>短期</w:t>
      </w:r>
      <w:r w:rsidR="00900334">
        <w:rPr>
          <w:rFonts w:ascii="楷体_GB2312" w:eastAsia="楷体_GB2312" w:hint="eastAsia"/>
          <w:sz w:val="24"/>
          <w:szCs w:val="24"/>
        </w:rPr>
        <w:t>来看</w:t>
      </w:r>
      <w:r w:rsidR="003771C1">
        <w:rPr>
          <w:rFonts w:ascii="楷体_GB2312" w:eastAsia="楷体_GB2312" w:hint="eastAsia"/>
          <w:sz w:val="24"/>
          <w:szCs w:val="24"/>
        </w:rPr>
        <w:t>偏强</w:t>
      </w:r>
      <w:r w:rsidR="00E13F5A" w:rsidRPr="00D76592">
        <w:rPr>
          <w:rFonts w:ascii="楷体_GB2312" w:eastAsia="楷体_GB2312" w:hint="eastAsia"/>
          <w:sz w:val="24"/>
          <w:szCs w:val="24"/>
        </w:rPr>
        <w:t>，</w:t>
      </w:r>
      <w:r>
        <w:rPr>
          <w:rFonts w:ascii="楷体_GB2312" w:eastAsia="楷体_GB2312" w:hint="eastAsia"/>
          <w:sz w:val="24"/>
          <w:szCs w:val="24"/>
        </w:rPr>
        <w:t>市场情绪较乐观，因而</w:t>
      </w:r>
      <w:r w:rsidR="00E13F5A" w:rsidRPr="00D76592">
        <w:rPr>
          <w:rFonts w:ascii="楷体_GB2312" w:eastAsia="楷体_GB2312" w:hint="eastAsia"/>
          <w:sz w:val="24"/>
          <w:szCs w:val="24"/>
        </w:rPr>
        <w:t>短期</w:t>
      </w:r>
      <w:r w:rsidR="00E13F5A">
        <w:rPr>
          <w:rFonts w:ascii="楷体_GB2312" w:eastAsia="楷体_GB2312" w:hint="eastAsia"/>
          <w:sz w:val="24"/>
          <w:szCs w:val="24"/>
        </w:rPr>
        <w:t>内</w:t>
      </w:r>
      <w:r w:rsidR="00900334">
        <w:rPr>
          <w:rFonts w:ascii="楷体_GB2312" w:eastAsia="楷体_GB2312" w:hint="eastAsia"/>
          <w:sz w:val="24"/>
          <w:szCs w:val="24"/>
        </w:rPr>
        <w:t>方向性策略建议买入看涨期权，中长期</w:t>
      </w:r>
      <w:r w:rsidR="00E13F5A" w:rsidRPr="00D76592">
        <w:rPr>
          <w:rFonts w:ascii="楷体_GB2312" w:eastAsia="楷体_GB2312" w:hint="eastAsia"/>
          <w:sz w:val="24"/>
          <w:szCs w:val="24"/>
        </w:rPr>
        <w:t>建议</w:t>
      </w:r>
      <w:r w:rsidR="00900334">
        <w:rPr>
          <w:rFonts w:ascii="楷体_GB2312" w:eastAsia="楷体_GB2312" w:hint="eastAsia"/>
          <w:sz w:val="24"/>
          <w:szCs w:val="24"/>
        </w:rPr>
        <w:t>做多波动率，</w:t>
      </w:r>
      <w:proofErr w:type="gramStart"/>
      <w:r w:rsidR="00900334">
        <w:rPr>
          <w:rFonts w:ascii="楷体_GB2312" w:eastAsia="楷体_GB2312" w:hint="eastAsia"/>
          <w:sz w:val="24"/>
          <w:szCs w:val="24"/>
        </w:rPr>
        <w:t>构建宽跨式</w:t>
      </w:r>
      <w:proofErr w:type="gramEnd"/>
      <w:r w:rsidR="00900334">
        <w:rPr>
          <w:rFonts w:ascii="楷体_GB2312" w:eastAsia="楷体_GB2312" w:hint="eastAsia"/>
          <w:sz w:val="24"/>
          <w:szCs w:val="24"/>
        </w:rPr>
        <w:t>策略</w:t>
      </w:r>
      <w:r w:rsidR="00E13F5A" w:rsidRPr="00D76592">
        <w:rPr>
          <w:rFonts w:ascii="楷体_GB2312" w:eastAsia="楷体_GB2312" w:hint="eastAsia"/>
          <w:sz w:val="24"/>
          <w:szCs w:val="24"/>
        </w:rPr>
        <w:t>。</w:t>
      </w:r>
    </w:p>
    <w:p w14:paraId="33E99E99" w14:textId="77777777" w:rsidR="00860F60" w:rsidRPr="00900334" w:rsidRDefault="00860F60" w:rsidP="00591CA5">
      <w:pPr>
        <w:spacing w:line="400" w:lineRule="exact"/>
        <w:ind w:firstLineChars="200" w:firstLine="480"/>
        <w:rPr>
          <w:rFonts w:ascii="楷体_GB2312" w:eastAsia="楷体_GB2312"/>
          <w:sz w:val="24"/>
          <w:szCs w:val="24"/>
        </w:rPr>
      </w:pPr>
    </w:p>
    <w:p w14:paraId="60B8AFF5" w14:textId="77777777" w:rsidR="00134C4E" w:rsidRPr="00134C4E" w:rsidRDefault="00134C4E" w:rsidP="00134C4E">
      <w:pPr>
        <w:spacing w:line="400" w:lineRule="exact"/>
        <w:ind w:firstLineChars="200" w:firstLine="480"/>
        <w:rPr>
          <w:rFonts w:ascii="楷体_GB2312" w:eastAsia="楷体_GB2312"/>
          <w:sz w:val="24"/>
          <w:szCs w:val="24"/>
        </w:rPr>
      </w:pPr>
    </w:p>
    <w:p w14:paraId="7F1C067B" w14:textId="77777777" w:rsidR="006E090B" w:rsidRPr="00134C4E" w:rsidRDefault="006E090B" w:rsidP="00591CA5">
      <w:pPr>
        <w:spacing w:line="400" w:lineRule="exact"/>
        <w:ind w:firstLineChars="200" w:firstLine="480"/>
        <w:rPr>
          <w:rFonts w:ascii="楷体_GB2312" w:eastAsia="楷体_GB2312"/>
          <w:sz w:val="24"/>
          <w:szCs w:val="24"/>
        </w:rPr>
      </w:pPr>
    </w:p>
    <w:p w14:paraId="21CC7D8B" w14:textId="77777777" w:rsidR="006E090B" w:rsidRPr="00401196" w:rsidRDefault="006E090B" w:rsidP="00DC33F0">
      <w:pPr>
        <w:spacing w:line="400" w:lineRule="exact"/>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53DF6795" w14:textId="73E2269F" w:rsidR="00761B35" w:rsidRDefault="00761B35" w:rsidP="00761B35">
      <w:pPr>
        <w:spacing w:line="400" w:lineRule="exact"/>
        <w:ind w:firstLineChars="200" w:firstLine="480"/>
        <w:rPr>
          <w:rFonts w:ascii="楷体_GB2312" w:eastAsia="楷体_GB2312" w:hAnsi="楷体"/>
          <w:sz w:val="24"/>
        </w:rPr>
      </w:pPr>
      <w:r w:rsidRPr="00761B35">
        <w:rPr>
          <w:rFonts w:ascii="楷体_GB2312" w:eastAsia="楷体_GB2312" w:hAnsi="楷体" w:hint="eastAsia"/>
          <w:sz w:val="24"/>
        </w:rPr>
        <w:t>国庆假期期间美盘原糖大幅上涨，且此次价格高点已经高于上次反弹的高点，原糖指数上涨1.81美分，或16.61%，收于每磅12.71美分。假期期间巴西货币雷亚尔大幅上涨，巴西大选带动货币走强。原油价格再创新高，能源价格的走强间接利多糖价。另一方面印度的出口补贴已经公布，但当下对贸易流冲击有限，仍需要给出合适的价格，这也导致低位的原糖价格下跌动力不足，印度四季度出口有限。中期的利多或是给糖价有支撑的因素，巴西和欧洲的</w:t>
      </w:r>
      <w:proofErr w:type="gramStart"/>
      <w:r w:rsidRPr="00761B35">
        <w:rPr>
          <w:rFonts w:ascii="楷体_GB2312" w:eastAsia="楷体_GB2312" w:hAnsi="楷体" w:hint="eastAsia"/>
          <w:sz w:val="24"/>
        </w:rPr>
        <w:t>减产仍</w:t>
      </w:r>
      <w:proofErr w:type="gramEnd"/>
      <w:r w:rsidRPr="00761B35">
        <w:rPr>
          <w:rFonts w:ascii="楷体_GB2312" w:eastAsia="楷体_GB2312" w:hAnsi="楷体" w:hint="eastAsia"/>
          <w:sz w:val="24"/>
        </w:rPr>
        <w:t>对价格有支撑，但长期利空担忧仍在。假期期间国内休市，北方甜菜糖开榨，但是有消息传出，甜菜含糖率低于预期，或导致甜菜糖增产不及预期，另外榨季初甜菜更倾向于生产绵白糖，对于盘</w:t>
      </w:r>
      <w:proofErr w:type="gramStart"/>
      <w:r w:rsidRPr="00761B35">
        <w:rPr>
          <w:rFonts w:ascii="楷体_GB2312" w:eastAsia="楷体_GB2312" w:hAnsi="楷体" w:hint="eastAsia"/>
          <w:sz w:val="24"/>
        </w:rPr>
        <w:t>面冲击</w:t>
      </w:r>
      <w:proofErr w:type="gramEnd"/>
      <w:r w:rsidRPr="00761B35">
        <w:rPr>
          <w:rFonts w:ascii="楷体_GB2312" w:eastAsia="楷体_GB2312" w:hAnsi="楷体" w:hint="eastAsia"/>
          <w:sz w:val="24"/>
        </w:rPr>
        <w:t>有所减弱。再加上外盘大幅上涨，因此</w:t>
      </w:r>
      <w:proofErr w:type="gramStart"/>
      <w:r w:rsidRPr="00761B35">
        <w:rPr>
          <w:rFonts w:ascii="楷体_GB2312" w:eastAsia="楷体_GB2312" w:hAnsi="楷体" w:hint="eastAsia"/>
          <w:sz w:val="24"/>
        </w:rPr>
        <w:t>国内郑糖</w:t>
      </w:r>
      <w:proofErr w:type="gramEnd"/>
      <w:r w:rsidRPr="00761B35">
        <w:rPr>
          <w:rFonts w:ascii="楷体_GB2312" w:eastAsia="楷体_GB2312" w:hAnsi="楷体" w:hint="eastAsia"/>
          <w:sz w:val="24"/>
        </w:rPr>
        <w:t>短期或延续反弹走势，反弹高点或高于上次，</w:t>
      </w:r>
      <w:proofErr w:type="gramStart"/>
      <w:r w:rsidRPr="00761B35">
        <w:rPr>
          <w:rFonts w:ascii="楷体_GB2312" w:eastAsia="楷体_GB2312" w:hAnsi="楷体" w:hint="eastAsia"/>
          <w:sz w:val="24"/>
        </w:rPr>
        <w:t>郑糖短线</w:t>
      </w:r>
      <w:proofErr w:type="gramEnd"/>
      <w:r w:rsidRPr="00761B35">
        <w:rPr>
          <w:rFonts w:ascii="楷体_GB2312" w:eastAsia="楷体_GB2312" w:hAnsi="楷体" w:hint="eastAsia"/>
          <w:sz w:val="24"/>
        </w:rPr>
        <w:t>偏多，中期或仍可等待逢高做空的机会。</w:t>
      </w: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3622B0B4" w:rsidR="00375911" w:rsidRPr="00B650B3" w:rsidRDefault="003B565F" w:rsidP="00DA40A7">
      <w:pPr>
        <w:spacing w:line="400" w:lineRule="exact"/>
        <w:ind w:firstLineChars="200" w:firstLine="480"/>
        <w:rPr>
          <w:rFonts w:ascii="楷体_GB2312" w:eastAsia="楷体_GB2312" w:hAnsi="楷体"/>
          <w:sz w:val="24"/>
        </w:rPr>
      </w:pPr>
      <w:r w:rsidRPr="00B650B3">
        <w:rPr>
          <w:rFonts w:ascii="楷体_GB2312" w:eastAsia="楷体_GB2312" w:hAnsi="楷体" w:hint="eastAsia"/>
          <w:sz w:val="24"/>
        </w:rPr>
        <w:t>截至</w:t>
      </w:r>
      <w:r w:rsidR="00F20FAD" w:rsidRPr="00B650B3">
        <w:rPr>
          <w:rFonts w:ascii="楷体_GB2312" w:eastAsia="楷体_GB2312" w:hAnsi="楷体" w:hint="eastAsia"/>
          <w:sz w:val="24"/>
        </w:rPr>
        <w:t>9</w:t>
      </w:r>
      <w:r w:rsidR="00801645" w:rsidRPr="00B650B3">
        <w:rPr>
          <w:rFonts w:ascii="楷体_GB2312" w:eastAsia="楷体_GB2312" w:hAnsi="楷体" w:hint="eastAsia"/>
          <w:sz w:val="24"/>
        </w:rPr>
        <w:t>月</w:t>
      </w:r>
      <w:r w:rsidR="00362D16" w:rsidRPr="00B650B3">
        <w:rPr>
          <w:rFonts w:ascii="楷体_GB2312" w:eastAsia="楷体_GB2312" w:hAnsi="楷体" w:hint="eastAsia"/>
          <w:sz w:val="24"/>
        </w:rPr>
        <w:t>2</w:t>
      </w:r>
      <w:r w:rsidR="00BC427D" w:rsidRPr="00B650B3">
        <w:rPr>
          <w:rFonts w:ascii="楷体_GB2312" w:eastAsia="楷体_GB2312" w:hAnsi="楷体" w:hint="eastAsia"/>
          <w:sz w:val="24"/>
        </w:rPr>
        <w:t>8</w:t>
      </w:r>
      <w:r w:rsidR="009C1A83" w:rsidRPr="00B650B3">
        <w:rPr>
          <w:rFonts w:ascii="楷体_GB2312" w:eastAsia="楷体_GB2312" w:hAnsi="楷体" w:hint="eastAsia"/>
          <w:sz w:val="24"/>
        </w:rPr>
        <w:t>日</w:t>
      </w:r>
      <w:r w:rsidR="00682C08" w:rsidRPr="00B650B3">
        <w:rPr>
          <w:rFonts w:ascii="楷体_GB2312" w:eastAsia="楷体_GB2312" w:hAnsi="楷体" w:hint="eastAsia"/>
          <w:sz w:val="24"/>
        </w:rPr>
        <w:t>白糖期权</w:t>
      </w:r>
      <w:r w:rsidR="0075607F" w:rsidRPr="00B650B3">
        <w:rPr>
          <w:rFonts w:ascii="楷体_GB2312" w:eastAsia="楷体_GB2312" w:hAnsi="楷体" w:hint="eastAsia"/>
          <w:sz w:val="24"/>
        </w:rPr>
        <w:t>合约</w:t>
      </w:r>
      <w:r w:rsidRPr="00B650B3">
        <w:rPr>
          <w:rFonts w:ascii="楷体_GB2312" w:eastAsia="楷体_GB2312" w:hAnsi="楷体" w:hint="eastAsia"/>
          <w:sz w:val="24"/>
        </w:rPr>
        <w:t>总持仓量</w:t>
      </w:r>
      <w:r w:rsidR="00BC427D" w:rsidRPr="00B650B3">
        <w:rPr>
          <w:rFonts w:ascii="楷体_GB2312" w:eastAsia="楷体_GB2312" w:hAnsi="楷体" w:hint="eastAsia"/>
          <w:sz w:val="24"/>
        </w:rPr>
        <w:t>26.47</w:t>
      </w:r>
      <w:r w:rsidRPr="00B650B3">
        <w:rPr>
          <w:rFonts w:ascii="楷体_GB2312" w:eastAsia="楷体_GB2312" w:hAnsi="楷体" w:hint="eastAsia"/>
          <w:sz w:val="24"/>
        </w:rPr>
        <w:t>万张，</w:t>
      </w:r>
      <w:r w:rsidR="00F20FAD" w:rsidRPr="00B650B3">
        <w:rPr>
          <w:rFonts w:ascii="楷体_GB2312" w:eastAsia="楷体_GB2312" w:hAnsi="楷体" w:hint="eastAsia"/>
          <w:sz w:val="24"/>
        </w:rPr>
        <w:t>保持着稳定趋势</w:t>
      </w:r>
      <w:r w:rsidR="00FC3F77" w:rsidRPr="00B650B3">
        <w:rPr>
          <w:rFonts w:ascii="楷体_GB2312" w:eastAsia="楷体_GB2312" w:hAnsi="楷体" w:hint="eastAsia"/>
          <w:sz w:val="24"/>
        </w:rPr>
        <w:t>，</w:t>
      </w:r>
      <w:r w:rsidR="009C1A83" w:rsidRPr="00B650B3">
        <w:rPr>
          <w:rFonts w:ascii="楷体_GB2312" w:eastAsia="楷体_GB2312" w:hAnsi="楷体" w:hint="eastAsia"/>
          <w:sz w:val="24"/>
        </w:rPr>
        <w:t>当日</w:t>
      </w:r>
      <w:r w:rsidR="0022066A" w:rsidRPr="00B650B3">
        <w:rPr>
          <w:rFonts w:ascii="楷体_GB2312" w:eastAsia="楷体_GB2312" w:hAnsi="楷体" w:hint="eastAsia"/>
          <w:sz w:val="24"/>
        </w:rPr>
        <w:t>白糖</w:t>
      </w:r>
      <w:proofErr w:type="gramStart"/>
      <w:r w:rsidR="00375911" w:rsidRPr="00B650B3">
        <w:rPr>
          <w:rFonts w:ascii="楷体_GB2312" w:eastAsia="楷体_GB2312" w:hAnsi="楷体" w:hint="eastAsia"/>
          <w:sz w:val="24"/>
        </w:rPr>
        <w:t>期权</w:t>
      </w:r>
      <w:r w:rsidR="0022066A" w:rsidRPr="00B650B3">
        <w:rPr>
          <w:rFonts w:ascii="楷体_GB2312" w:eastAsia="楷体_GB2312" w:hAnsi="楷体" w:hint="eastAsia"/>
          <w:sz w:val="24"/>
        </w:rPr>
        <w:t>总</w:t>
      </w:r>
      <w:proofErr w:type="gramEnd"/>
      <w:r w:rsidR="00375911" w:rsidRPr="00B650B3">
        <w:rPr>
          <w:rFonts w:ascii="楷体_GB2312" w:eastAsia="楷体_GB2312" w:hAnsi="楷体" w:hint="eastAsia"/>
          <w:sz w:val="24"/>
        </w:rPr>
        <w:t>成交量</w:t>
      </w:r>
      <w:r w:rsidR="00F337E4" w:rsidRPr="00B650B3">
        <w:rPr>
          <w:rFonts w:ascii="楷体_GB2312" w:eastAsia="楷体_GB2312" w:hAnsi="楷体" w:hint="eastAsia"/>
          <w:sz w:val="24"/>
        </w:rPr>
        <w:t>为</w:t>
      </w:r>
      <w:r w:rsidR="00BC427D" w:rsidRPr="00B650B3">
        <w:rPr>
          <w:rFonts w:ascii="楷体_GB2312" w:eastAsia="楷体_GB2312" w:hAnsi="楷体" w:hint="eastAsia"/>
          <w:sz w:val="24"/>
        </w:rPr>
        <w:t>4.3</w:t>
      </w:r>
      <w:r w:rsidR="00F337E4" w:rsidRPr="00B650B3">
        <w:rPr>
          <w:rFonts w:ascii="楷体_GB2312" w:eastAsia="楷体_GB2312" w:hAnsi="楷体" w:hint="eastAsia"/>
          <w:sz w:val="24"/>
        </w:rPr>
        <w:t>万张</w:t>
      </w:r>
      <w:r w:rsidR="009C1A83" w:rsidRPr="00B650B3">
        <w:rPr>
          <w:rFonts w:ascii="楷体_GB2312" w:eastAsia="楷体_GB2312" w:hAnsi="楷体" w:hint="eastAsia"/>
          <w:sz w:val="24"/>
        </w:rPr>
        <w:t>，</w:t>
      </w:r>
      <w:r w:rsidR="003A45D1" w:rsidRPr="00B650B3">
        <w:rPr>
          <w:rFonts w:ascii="楷体_GB2312" w:eastAsia="楷体_GB2312" w:hAnsi="楷体" w:hint="eastAsia"/>
          <w:sz w:val="24"/>
        </w:rPr>
        <w:t>一周平均日成交量</w:t>
      </w:r>
      <w:r w:rsidR="00BC427D" w:rsidRPr="00B650B3">
        <w:rPr>
          <w:rFonts w:ascii="楷体_GB2312" w:eastAsia="楷体_GB2312" w:hAnsi="楷体" w:hint="eastAsia"/>
          <w:sz w:val="24"/>
        </w:rPr>
        <w:t>4.13</w:t>
      </w:r>
      <w:r w:rsidR="003A45D1" w:rsidRPr="00B650B3">
        <w:rPr>
          <w:rFonts w:ascii="楷体_GB2312" w:eastAsia="楷体_GB2312" w:hAnsi="楷体" w:hint="eastAsia"/>
          <w:sz w:val="24"/>
        </w:rPr>
        <w:t>万张</w:t>
      </w:r>
      <w:r w:rsidR="00431536" w:rsidRPr="00B650B3">
        <w:rPr>
          <w:rFonts w:ascii="楷体_GB2312" w:eastAsia="楷体_GB2312" w:hAnsi="楷体" w:hint="eastAsia"/>
          <w:sz w:val="24"/>
        </w:rPr>
        <w:t>，</w:t>
      </w:r>
      <w:r w:rsidR="00FC3F77" w:rsidRPr="00B650B3">
        <w:rPr>
          <w:rFonts w:ascii="楷体_GB2312" w:eastAsia="楷体_GB2312" w:hAnsi="楷体" w:hint="eastAsia"/>
          <w:sz w:val="24"/>
        </w:rPr>
        <w:t>交易活跃度一般</w:t>
      </w:r>
      <w:r w:rsidR="00375911" w:rsidRPr="00B650B3">
        <w:rPr>
          <w:rFonts w:ascii="楷体_GB2312" w:eastAsia="楷体_GB2312" w:hAnsi="楷体" w:hint="eastAsia"/>
          <w:sz w:val="24"/>
        </w:rPr>
        <w:t>。</w:t>
      </w:r>
      <w:r w:rsidR="009C1A83" w:rsidRPr="00B650B3">
        <w:rPr>
          <w:rFonts w:ascii="楷体_GB2312" w:eastAsia="楷体_GB2312" w:hAnsi="楷体" w:hint="eastAsia"/>
          <w:sz w:val="24"/>
        </w:rPr>
        <w:t>整周来看，</w:t>
      </w:r>
      <w:r w:rsidR="00375911" w:rsidRPr="00B650B3">
        <w:rPr>
          <w:rFonts w:ascii="楷体_GB2312" w:eastAsia="楷体_GB2312" w:hAnsi="楷体" w:hint="eastAsia"/>
          <w:sz w:val="24"/>
        </w:rPr>
        <w:t>白糖期权</w:t>
      </w:r>
      <w:r w:rsidR="00431536" w:rsidRPr="00B650B3">
        <w:rPr>
          <w:rFonts w:ascii="楷体_GB2312" w:eastAsia="楷体_GB2312" w:hAnsi="楷体" w:hint="eastAsia"/>
          <w:sz w:val="24"/>
        </w:rPr>
        <w:t>1901</w:t>
      </w:r>
      <w:r w:rsidR="00375911" w:rsidRPr="00B650B3">
        <w:rPr>
          <w:rFonts w:ascii="楷体_GB2312" w:eastAsia="楷体_GB2312" w:hAnsi="楷体" w:hint="eastAsia"/>
          <w:sz w:val="24"/>
        </w:rPr>
        <w:t>合约最大持仓量方面，看涨期权为行权价</w:t>
      </w:r>
      <w:r w:rsidR="00C75661" w:rsidRPr="00B650B3">
        <w:rPr>
          <w:rFonts w:ascii="楷体_GB2312" w:eastAsia="楷体_GB2312" w:hAnsi="楷体" w:hint="eastAsia"/>
          <w:sz w:val="24"/>
        </w:rPr>
        <w:t>54</w:t>
      </w:r>
      <w:r w:rsidR="0075607F" w:rsidRPr="00B650B3">
        <w:rPr>
          <w:rFonts w:ascii="楷体_GB2312" w:eastAsia="楷体_GB2312" w:hAnsi="楷体" w:hint="eastAsia"/>
          <w:sz w:val="24"/>
        </w:rPr>
        <w:t>00</w:t>
      </w:r>
      <w:r w:rsidR="0043616C" w:rsidRPr="00B650B3">
        <w:rPr>
          <w:rFonts w:ascii="楷体_GB2312" w:eastAsia="楷体_GB2312" w:hAnsi="楷体" w:hint="eastAsia"/>
          <w:sz w:val="24"/>
        </w:rPr>
        <w:t>元/吨</w:t>
      </w:r>
      <w:r w:rsidR="00375911" w:rsidRPr="00B650B3">
        <w:rPr>
          <w:rFonts w:ascii="楷体_GB2312" w:eastAsia="楷体_GB2312" w:hAnsi="楷体" w:hint="eastAsia"/>
          <w:sz w:val="24"/>
        </w:rPr>
        <w:t>，</w:t>
      </w:r>
      <w:r w:rsidR="000331F0" w:rsidRPr="00B650B3">
        <w:rPr>
          <w:rFonts w:ascii="楷体_GB2312" w:eastAsia="楷体_GB2312" w:hAnsi="楷体" w:hint="eastAsia"/>
          <w:sz w:val="24"/>
        </w:rPr>
        <w:t>看跌期权为行权价</w:t>
      </w:r>
      <w:r w:rsidR="00F11F1B" w:rsidRPr="00B650B3">
        <w:rPr>
          <w:rFonts w:ascii="楷体_GB2312" w:eastAsia="楷体_GB2312" w:hAnsi="楷体" w:hint="eastAsia"/>
          <w:sz w:val="24"/>
        </w:rPr>
        <w:t>为4</w:t>
      </w:r>
      <w:r w:rsidR="00FC64B0" w:rsidRPr="00B650B3">
        <w:rPr>
          <w:rFonts w:ascii="楷体_GB2312" w:eastAsia="楷体_GB2312" w:hAnsi="楷体" w:hint="eastAsia"/>
          <w:sz w:val="24"/>
        </w:rPr>
        <w:t>6</w:t>
      </w:r>
      <w:r w:rsidR="00F11F1B" w:rsidRPr="00B650B3">
        <w:rPr>
          <w:rFonts w:ascii="楷体_GB2312" w:eastAsia="楷体_GB2312" w:hAnsi="楷体" w:hint="eastAsia"/>
          <w:sz w:val="24"/>
        </w:rPr>
        <w:t>0</w:t>
      </w:r>
      <w:r w:rsidR="000331F0" w:rsidRPr="00B650B3">
        <w:rPr>
          <w:rFonts w:ascii="楷体_GB2312" w:eastAsia="楷体_GB2312" w:hAnsi="楷体" w:hint="eastAsia"/>
          <w:sz w:val="24"/>
        </w:rPr>
        <w:t>0元/吨</w:t>
      </w:r>
      <w:r w:rsidR="00FC3F77" w:rsidRPr="00B650B3">
        <w:rPr>
          <w:rFonts w:ascii="楷体_GB2312" w:eastAsia="楷体_GB2312" w:hAnsi="楷体" w:hint="eastAsia"/>
          <w:sz w:val="24"/>
        </w:rPr>
        <w:t>，</w:t>
      </w:r>
      <w:r w:rsidR="00BC427D" w:rsidRPr="00B650B3">
        <w:rPr>
          <w:rFonts w:ascii="楷体_GB2312" w:eastAsia="楷体_GB2312" w:hAnsi="楷体" w:hint="eastAsia"/>
          <w:sz w:val="24"/>
        </w:rPr>
        <w:t>与上周保持一致</w:t>
      </w:r>
      <w:r w:rsidR="00375911" w:rsidRPr="00B650B3">
        <w:rPr>
          <w:rFonts w:ascii="楷体_GB2312" w:eastAsia="楷体_GB2312" w:hAnsi="楷体" w:hint="eastAsia"/>
          <w:sz w:val="24"/>
        </w:rPr>
        <w:t>。</w:t>
      </w:r>
    </w:p>
    <w:p w14:paraId="75F822EB" w14:textId="0520838E" w:rsidR="009F4A3F" w:rsidRPr="00B650B3" w:rsidRDefault="004665D1" w:rsidP="002F492D">
      <w:pPr>
        <w:spacing w:line="400" w:lineRule="exact"/>
        <w:ind w:firstLineChars="200" w:firstLine="480"/>
        <w:rPr>
          <w:rFonts w:ascii="楷体_GB2312" w:eastAsia="楷体_GB2312" w:hAnsi="楷体"/>
          <w:sz w:val="24"/>
        </w:rPr>
      </w:pPr>
      <w:r w:rsidRPr="00B650B3">
        <w:rPr>
          <w:rFonts w:ascii="楷体_GB2312" w:eastAsia="楷体_GB2312" w:hint="eastAsia"/>
          <w:sz w:val="24"/>
          <w:szCs w:val="24"/>
        </w:rPr>
        <w:t>成交量PCR（Put-Call Ratio）指标即看跌期权与看涨期权成交量比率是期权对市场投资者有力的反应指标。</w:t>
      </w:r>
      <w:r w:rsidR="00375911" w:rsidRPr="00B650B3">
        <w:rPr>
          <w:rFonts w:ascii="楷体_GB2312" w:eastAsia="楷体_GB2312" w:hAnsi="楷体" w:hint="eastAsia"/>
          <w:sz w:val="24"/>
        </w:rPr>
        <w:t>从盘面来看</w:t>
      </w:r>
      <w:r w:rsidRPr="00B650B3">
        <w:rPr>
          <w:rFonts w:ascii="楷体_GB2312" w:eastAsia="楷体_GB2312" w:hAnsi="楷体" w:hint="eastAsia"/>
          <w:sz w:val="24"/>
        </w:rPr>
        <w:t>，</w:t>
      </w:r>
      <w:r w:rsidR="00242284" w:rsidRPr="00B650B3">
        <w:rPr>
          <w:rFonts w:ascii="楷体_GB2312" w:eastAsia="楷体_GB2312" w:hAnsi="楷体" w:hint="eastAsia"/>
          <w:sz w:val="24"/>
        </w:rPr>
        <w:t>本周</w:t>
      </w:r>
      <w:r w:rsidR="00D2235E" w:rsidRPr="00B650B3">
        <w:rPr>
          <w:rFonts w:ascii="楷体_GB2312" w:eastAsia="楷体_GB2312" w:hAnsi="楷体" w:hint="eastAsia"/>
          <w:sz w:val="24"/>
        </w:rPr>
        <w:t>白糖期</w:t>
      </w:r>
      <w:r w:rsidR="009E45AF" w:rsidRPr="00B650B3">
        <w:rPr>
          <w:rFonts w:ascii="楷体_GB2312" w:eastAsia="楷体_GB2312" w:hAnsi="楷体" w:hint="eastAsia"/>
          <w:sz w:val="24"/>
        </w:rPr>
        <w:t>权</w:t>
      </w:r>
      <w:r w:rsidR="00D2235E" w:rsidRPr="00B650B3">
        <w:rPr>
          <w:rFonts w:ascii="楷体_GB2312" w:eastAsia="楷体_GB2312" w:hAnsi="楷体" w:hint="eastAsia"/>
          <w:sz w:val="24"/>
        </w:rPr>
        <w:t>合约</w:t>
      </w:r>
      <w:r w:rsidR="009E45AF" w:rsidRPr="00B650B3">
        <w:rPr>
          <w:rFonts w:ascii="楷体_GB2312" w:eastAsia="楷体_GB2312" w:hAnsi="楷体" w:hint="eastAsia"/>
          <w:sz w:val="24"/>
        </w:rPr>
        <w:t>总</w:t>
      </w:r>
      <w:r w:rsidR="00C41567" w:rsidRPr="00B650B3">
        <w:rPr>
          <w:rFonts w:ascii="楷体_GB2312" w:eastAsia="楷体_GB2312" w:hAnsi="楷体" w:hint="eastAsia"/>
          <w:sz w:val="24"/>
        </w:rPr>
        <w:t>成交量PCR</w:t>
      </w:r>
      <w:r w:rsidR="00DD1F27" w:rsidRPr="00B650B3">
        <w:rPr>
          <w:rFonts w:ascii="楷体_GB2312" w:eastAsia="楷体_GB2312" w:hAnsi="楷体" w:hint="eastAsia"/>
          <w:sz w:val="24"/>
        </w:rPr>
        <w:t>在</w:t>
      </w:r>
      <w:r w:rsidR="00A05E06" w:rsidRPr="00B650B3">
        <w:rPr>
          <w:rFonts w:ascii="楷体_GB2312" w:eastAsia="楷体_GB2312" w:hAnsi="楷体" w:hint="eastAsia"/>
          <w:sz w:val="24"/>
        </w:rPr>
        <w:t>整体重心</w:t>
      </w:r>
      <w:r w:rsidR="001F1782" w:rsidRPr="00B650B3">
        <w:rPr>
          <w:rFonts w:ascii="楷体_GB2312" w:eastAsia="楷体_GB2312" w:hAnsi="楷体" w:hint="eastAsia"/>
          <w:sz w:val="24"/>
        </w:rPr>
        <w:t>略有所</w:t>
      </w:r>
      <w:r w:rsidR="00FC64B0" w:rsidRPr="00B650B3">
        <w:rPr>
          <w:rFonts w:ascii="楷体_GB2312" w:eastAsia="楷体_GB2312" w:hAnsi="楷体" w:hint="eastAsia"/>
          <w:sz w:val="24"/>
        </w:rPr>
        <w:t>下降</w:t>
      </w:r>
      <w:r w:rsidR="00C41567" w:rsidRPr="00B650B3">
        <w:rPr>
          <w:rFonts w:ascii="楷体_GB2312" w:eastAsia="楷体_GB2312" w:hAnsi="楷体" w:hint="eastAsia"/>
          <w:sz w:val="24"/>
        </w:rPr>
        <w:t>，</w:t>
      </w:r>
      <w:r w:rsidR="001F1782" w:rsidRPr="00B650B3">
        <w:rPr>
          <w:rFonts w:ascii="楷体_GB2312" w:eastAsia="楷体_GB2312" w:hAnsi="楷体" w:hint="eastAsia"/>
          <w:sz w:val="24"/>
        </w:rPr>
        <w:t>周</w:t>
      </w:r>
      <w:r w:rsidR="00C41567" w:rsidRPr="00B650B3">
        <w:rPr>
          <w:rFonts w:ascii="楷体_GB2312" w:eastAsia="楷体_GB2312" w:hAnsi="楷体" w:hint="eastAsia"/>
          <w:sz w:val="24"/>
        </w:rPr>
        <w:t>平均</w:t>
      </w:r>
      <w:r w:rsidR="001F1782" w:rsidRPr="00B650B3">
        <w:rPr>
          <w:rFonts w:ascii="楷体_GB2312" w:eastAsia="楷体_GB2312" w:hAnsi="楷体" w:hint="eastAsia"/>
          <w:sz w:val="24"/>
        </w:rPr>
        <w:t>0.</w:t>
      </w:r>
      <w:r w:rsidR="00BC427D" w:rsidRPr="00B650B3">
        <w:rPr>
          <w:rFonts w:ascii="楷体_GB2312" w:eastAsia="楷体_GB2312" w:hAnsi="楷体" w:hint="eastAsia"/>
          <w:sz w:val="24"/>
        </w:rPr>
        <w:t>34</w:t>
      </w:r>
      <w:r w:rsidR="00C034BF" w:rsidRPr="00B650B3">
        <w:rPr>
          <w:rFonts w:ascii="楷体_GB2312" w:eastAsia="楷体_GB2312" w:hAnsi="楷体" w:hint="eastAsia"/>
          <w:sz w:val="24"/>
        </w:rPr>
        <w:t>，</w:t>
      </w:r>
      <w:r w:rsidR="00375911" w:rsidRPr="00B650B3">
        <w:rPr>
          <w:rFonts w:ascii="楷体_GB2312" w:eastAsia="楷体_GB2312" w:hAnsi="楷体" w:hint="eastAsia"/>
          <w:sz w:val="24"/>
        </w:rPr>
        <w:t>期权的</w:t>
      </w:r>
      <w:r w:rsidR="002F492D" w:rsidRPr="00B650B3">
        <w:rPr>
          <w:rFonts w:ascii="楷体_GB2312" w:eastAsia="楷体_GB2312" w:hAnsi="楷体" w:hint="eastAsia"/>
          <w:sz w:val="24"/>
        </w:rPr>
        <w:t>总</w:t>
      </w:r>
      <w:r w:rsidR="00375911" w:rsidRPr="00B650B3">
        <w:rPr>
          <w:rFonts w:ascii="楷体_GB2312" w:eastAsia="楷体_GB2312" w:hAnsi="楷体" w:hint="eastAsia"/>
          <w:sz w:val="24"/>
        </w:rPr>
        <w:t>持仓量PCR</w:t>
      </w:r>
      <w:r w:rsidR="001F1782" w:rsidRPr="00B650B3">
        <w:rPr>
          <w:rFonts w:ascii="楷体_GB2312" w:eastAsia="楷体_GB2312" w:hAnsi="楷体" w:hint="eastAsia"/>
          <w:sz w:val="24"/>
        </w:rPr>
        <w:t>周</w:t>
      </w:r>
      <w:r w:rsidR="00277EAA" w:rsidRPr="00B650B3">
        <w:rPr>
          <w:rFonts w:ascii="楷体_GB2312" w:eastAsia="楷体_GB2312" w:hAnsi="楷体" w:hint="eastAsia"/>
          <w:sz w:val="24"/>
        </w:rPr>
        <w:t>平均</w:t>
      </w:r>
      <w:r w:rsidR="000E5067" w:rsidRPr="00B650B3">
        <w:rPr>
          <w:rFonts w:ascii="楷体_GB2312" w:eastAsia="楷体_GB2312" w:hAnsi="楷体" w:hint="eastAsia"/>
          <w:sz w:val="24"/>
        </w:rPr>
        <w:t>0.</w:t>
      </w:r>
      <w:r w:rsidR="00FC64B0" w:rsidRPr="00B650B3">
        <w:rPr>
          <w:rFonts w:ascii="楷体_GB2312" w:eastAsia="楷体_GB2312" w:hAnsi="楷体" w:hint="eastAsia"/>
          <w:sz w:val="24"/>
        </w:rPr>
        <w:t>4</w:t>
      </w:r>
      <w:r w:rsidR="00BC427D" w:rsidRPr="00B650B3">
        <w:rPr>
          <w:rFonts w:ascii="楷体_GB2312" w:eastAsia="楷体_GB2312" w:hAnsi="楷体" w:hint="eastAsia"/>
          <w:sz w:val="24"/>
        </w:rPr>
        <w:t>0</w:t>
      </w:r>
      <w:r w:rsidR="00712641" w:rsidRPr="00B650B3">
        <w:rPr>
          <w:rFonts w:ascii="楷体_GB2312" w:eastAsia="楷体_GB2312" w:hAnsi="楷体" w:hint="eastAsia"/>
          <w:sz w:val="24"/>
        </w:rPr>
        <w:t>，较上周</w:t>
      </w:r>
      <w:r w:rsidR="00FC64B0" w:rsidRPr="00B650B3">
        <w:rPr>
          <w:rFonts w:ascii="楷体_GB2312" w:eastAsia="楷体_GB2312" w:hAnsi="楷体" w:hint="eastAsia"/>
          <w:sz w:val="24"/>
        </w:rPr>
        <w:t>持续</w:t>
      </w:r>
      <w:r w:rsidR="001F1782" w:rsidRPr="00B650B3">
        <w:rPr>
          <w:rFonts w:ascii="楷体_GB2312" w:eastAsia="楷体_GB2312" w:hAnsi="楷体" w:hint="eastAsia"/>
          <w:sz w:val="24"/>
        </w:rPr>
        <w:t>下降</w:t>
      </w:r>
      <w:r w:rsidR="00F96BBE" w:rsidRPr="00B650B3">
        <w:rPr>
          <w:rFonts w:ascii="楷体_GB2312" w:eastAsia="楷体_GB2312" w:hAnsi="楷体" w:hint="eastAsia"/>
          <w:sz w:val="24"/>
        </w:rPr>
        <w:t>。</w:t>
      </w:r>
      <w:r w:rsidR="002F492D" w:rsidRPr="00B650B3">
        <w:rPr>
          <w:rFonts w:ascii="楷体_GB2312" w:eastAsia="楷体_GB2312" w:hAnsi="楷体" w:hint="eastAsia"/>
          <w:sz w:val="24"/>
        </w:rPr>
        <w:t>从</w:t>
      </w:r>
      <w:r w:rsidR="00105968" w:rsidRPr="00B650B3">
        <w:rPr>
          <w:rFonts w:ascii="楷体_GB2312" w:eastAsia="楷体_GB2312" w:hAnsi="楷体" w:hint="eastAsia"/>
          <w:sz w:val="24"/>
        </w:rPr>
        <w:t>PCR</w:t>
      </w:r>
      <w:r w:rsidR="002F492D" w:rsidRPr="00B650B3">
        <w:rPr>
          <w:rFonts w:ascii="楷体_GB2312" w:eastAsia="楷体_GB2312" w:hAnsi="楷体" w:hint="eastAsia"/>
          <w:sz w:val="24"/>
        </w:rPr>
        <w:t>角度看，</w:t>
      </w:r>
      <w:r w:rsidR="00B650B3">
        <w:rPr>
          <w:rFonts w:ascii="楷体_GB2312" w:eastAsia="楷体_GB2312" w:hAnsi="楷体" w:hint="eastAsia"/>
          <w:sz w:val="24"/>
        </w:rPr>
        <w:t>中长期</w:t>
      </w:r>
      <w:r w:rsidR="00DF4E1D" w:rsidRPr="00B650B3">
        <w:rPr>
          <w:rFonts w:ascii="楷体_GB2312" w:eastAsia="楷体_GB2312" w:hAnsi="楷体" w:hint="eastAsia"/>
          <w:sz w:val="24"/>
        </w:rPr>
        <w:t>内</w:t>
      </w:r>
      <w:r w:rsidR="00D2235E" w:rsidRPr="00B650B3">
        <w:rPr>
          <w:rFonts w:ascii="楷体_GB2312" w:eastAsia="楷体_GB2312" w:hAnsi="楷体" w:hint="eastAsia"/>
          <w:sz w:val="24"/>
        </w:rPr>
        <w:t>市场</w:t>
      </w:r>
      <w:r w:rsidR="00712641" w:rsidRPr="00B650B3">
        <w:rPr>
          <w:rFonts w:ascii="楷体_GB2312" w:eastAsia="楷体_GB2312" w:hAnsi="楷体" w:hint="eastAsia"/>
          <w:sz w:val="24"/>
        </w:rPr>
        <w:t>情绪</w:t>
      </w:r>
      <w:r w:rsidR="00B650B3">
        <w:rPr>
          <w:rFonts w:ascii="楷体_GB2312" w:eastAsia="楷体_GB2312" w:hAnsi="楷体" w:hint="eastAsia"/>
          <w:sz w:val="24"/>
        </w:rPr>
        <w:t>仍偏</w:t>
      </w:r>
      <w:r w:rsidR="00A05E06" w:rsidRPr="00B650B3">
        <w:rPr>
          <w:rFonts w:ascii="楷体_GB2312" w:eastAsia="楷体_GB2312" w:hAnsi="楷体" w:hint="eastAsia"/>
          <w:sz w:val="24"/>
        </w:rPr>
        <w:t>悲观</w:t>
      </w:r>
      <w:r w:rsidR="002F492D" w:rsidRPr="00B650B3">
        <w:rPr>
          <w:rFonts w:ascii="楷体_GB2312" w:eastAsia="楷体_GB2312" w:hAnsi="楷体" w:hint="eastAsia"/>
          <w:sz w:val="24"/>
        </w:rPr>
        <w:t>。</w:t>
      </w:r>
    </w:p>
    <w:p w14:paraId="4B6077B9" w14:textId="77777777" w:rsidR="00356C5B" w:rsidRPr="007E680D"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0D4BA541"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p>
    <w:p w14:paraId="69BE0C1D" w14:textId="51652AF0" w:rsidR="00375911" w:rsidRPr="0064690A" w:rsidRDefault="00B30C7F"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0A0B5CF4" wp14:editId="055A096F">
                <wp:simplePos x="0" y="0"/>
                <wp:positionH relativeFrom="column">
                  <wp:posOffset>71120</wp:posOffset>
                </wp:positionH>
                <wp:positionV relativeFrom="paragraph">
                  <wp:posOffset>3450590</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1.7pt" to="469.4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" strokecolor="teal" strokeweight="2.25pt"/>
            </w:pict>
          </mc:Fallback>
        </mc:AlternateContent>
      </w:r>
      <w:r w:rsidR="0043616C">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23563506">
                <wp:simplePos x="0" y="0"/>
                <wp:positionH relativeFrom="column">
                  <wp:posOffset>65405</wp:posOffset>
                </wp:positionH>
                <wp:positionV relativeFrom="paragraph">
                  <wp:posOffset>69215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6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" strokecolor="teal" strokeweight="2.25pt"/>
            </w:pict>
          </mc:Fallback>
        </mc:AlternateContent>
      </w:r>
      <w:r w:rsidR="005B67FD" w:rsidRPr="005B67FD">
        <w:rPr>
          <w:noProof/>
        </w:rPr>
        <w:t xml:space="preserve"> </w:t>
      </w:r>
      <w:r w:rsidR="00DC33F0">
        <w:rPr>
          <w:noProof/>
        </w:rPr>
        <w:drawing>
          <wp:inline distT="0" distB="0" distL="0" distR="0" wp14:anchorId="4E93972A" wp14:editId="5703F729">
            <wp:extent cx="5880735" cy="3371850"/>
            <wp:effectExtent l="0" t="0" r="24765" b="190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304F9651"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73140FCC">
                <wp:simplePos x="0" y="0"/>
                <wp:positionH relativeFrom="column">
                  <wp:posOffset>61595</wp:posOffset>
                </wp:positionH>
                <wp:positionV relativeFrom="paragraph">
                  <wp:posOffset>3130550</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6.5pt" to="468.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" strokecolor="teal" strokeweight="2.25pt"/>
            </w:pict>
          </mc:Fallback>
        </mc:AlternateContent>
      </w:r>
      <w:r w:rsidR="00C41567" w:rsidRPr="00C41567">
        <w:rPr>
          <w:noProof/>
        </w:rPr>
        <w:t xml:space="preserve"> </w:t>
      </w:r>
      <w:r w:rsidR="00CE00E3">
        <w:rPr>
          <w:noProof/>
        </w:rPr>
        <w:drawing>
          <wp:inline distT="0" distB="0" distL="0" distR="0" wp14:anchorId="41EB95AD" wp14:editId="6D6F0B27">
            <wp:extent cx="5833110" cy="3124200"/>
            <wp:effectExtent l="0" t="0" r="15240" b="1905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78466648">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lastRenderedPageBreak/>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111AAD41" w14:textId="46765F06" w:rsidR="00A05E06" w:rsidRPr="00B650B3" w:rsidRDefault="00242284" w:rsidP="00FE298B">
      <w:pPr>
        <w:spacing w:line="400" w:lineRule="exact"/>
        <w:ind w:firstLineChars="200" w:firstLine="480"/>
        <w:rPr>
          <w:rFonts w:ascii="楷体_GB2312" w:eastAsia="楷体_GB2312" w:hAnsi="楷体"/>
          <w:sz w:val="24"/>
        </w:rPr>
      </w:pPr>
      <w:r w:rsidRPr="00B650B3">
        <w:rPr>
          <w:rFonts w:ascii="楷体_GB2312" w:eastAsia="楷体_GB2312" w:hAnsi="楷体" w:hint="eastAsia"/>
          <w:sz w:val="24"/>
        </w:rPr>
        <w:t>本</w:t>
      </w:r>
      <w:r w:rsidR="00700604" w:rsidRPr="00B650B3">
        <w:rPr>
          <w:rFonts w:ascii="楷体_GB2312" w:eastAsia="楷体_GB2312" w:hAnsi="楷体" w:hint="eastAsia"/>
          <w:sz w:val="24"/>
        </w:rPr>
        <w:t>周</w:t>
      </w:r>
      <w:r w:rsidR="00375911" w:rsidRPr="00B650B3">
        <w:rPr>
          <w:rFonts w:ascii="楷体_GB2312" w:eastAsia="楷体_GB2312" w:hAnsi="楷体" w:hint="eastAsia"/>
          <w:sz w:val="24"/>
        </w:rPr>
        <w:t>白糖</w:t>
      </w:r>
      <w:r w:rsidR="002259EC" w:rsidRPr="00B650B3">
        <w:rPr>
          <w:rFonts w:ascii="楷体_GB2312" w:eastAsia="楷体_GB2312" w:hAnsi="楷体" w:hint="eastAsia"/>
          <w:sz w:val="24"/>
        </w:rPr>
        <w:t>主力合约</w:t>
      </w:r>
      <w:r w:rsidR="00A641E8" w:rsidRPr="00B650B3">
        <w:rPr>
          <w:rFonts w:ascii="楷体_GB2312" w:eastAsia="楷体_GB2312" w:hAnsi="楷体" w:hint="eastAsia"/>
          <w:sz w:val="24"/>
        </w:rPr>
        <w:t>1901</w:t>
      </w:r>
      <w:r w:rsidR="007C639A" w:rsidRPr="00B650B3">
        <w:rPr>
          <w:rFonts w:ascii="楷体_GB2312" w:eastAsia="楷体_GB2312" w:hAnsi="楷体" w:hint="eastAsia"/>
          <w:sz w:val="24"/>
        </w:rPr>
        <w:t>合约</w:t>
      </w:r>
      <w:r w:rsidR="00700604" w:rsidRPr="00B650B3">
        <w:rPr>
          <w:rFonts w:ascii="楷体_GB2312" w:eastAsia="楷体_GB2312" w:hAnsi="楷体" w:hint="eastAsia"/>
          <w:sz w:val="24"/>
        </w:rPr>
        <w:t>平值隐含波动率</w:t>
      </w:r>
      <w:r w:rsidR="00A73BC5" w:rsidRPr="00B650B3">
        <w:rPr>
          <w:rFonts w:ascii="楷体_GB2312" w:eastAsia="楷体_GB2312" w:hAnsi="楷体" w:hint="eastAsia"/>
          <w:sz w:val="24"/>
        </w:rPr>
        <w:t>保持震荡走势</w:t>
      </w:r>
      <w:r w:rsidR="00712641" w:rsidRPr="00B650B3">
        <w:rPr>
          <w:rFonts w:ascii="楷体_GB2312" w:eastAsia="楷体_GB2312" w:hAnsi="楷体" w:hint="eastAsia"/>
          <w:sz w:val="24"/>
        </w:rPr>
        <w:t>，</w:t>
      </w:r>
      <w:r w:rsidR="00BC427D" w:rsidRPr="00B650B3">
        <w:rPr>
          <w:rFonts w:ascii="楷体_GB2312" w:eastAsia="楷体_GB2312" w:hAnsi="楷体" w:hint="eastAsia"/>
          <w:sz w:val="24"/>
        </w:rPr>
        <w:t>周五由于假期因素导致有所上升，</w:t>
      </w:r>
      <w:r w:rsidR="00A73BC5" w:rsidRPr="00B650B3">
        <w:rPr>
          <w:rFonts w:ascii="楷体_GB2312" w:eastAsia="楷体_GB2312" w:hAnsi="楷体" w:hint="eastAsia"/>
          <w:sz w:val="24"/>
        </w:rPr>
        <w:t>9月2</w:t>
      </w:r>
      <w:r w:rsidR="00BC427D" w:rsidRPr="00B650B3">
        <w:rPr>
          <w:rFonts w:ascii="楷体_GB2312" w:eastAsia="楷体_GB2312" w:hAnsi="楷体" w:hint="eastAsia"/>
          <w:sz w:val="24"/>
        </w:rPr>
        <w:t>8</w:t>
      </w:r>
      <w:r w:rsidR="00A73BC5" w:rsidRPr="00B650B3">
        <w:rPr>
          <w:rFonts w:ascii="楷体_GB2312" w:eastAsia="楷体_GB2312" w:hAnsi="楷体" w:hint="eastAsia"/>
          <w:sz w:val="24"/>
        </w:rPr>
        <w:t>日周五</w:t>
      </w:r>
      <w:r w:rsidR="00A641E8" w:rsidRPr="00B650B3">
        <w:rPr>
          <w:rFonts w:ascii="楷体_GB2312" w:eastAsia="楷体_GB2312" w:hAnsi="楷体" w:hint="eastAsia"/>
          <w:sz w:val="24"/>
        </w:rPr>
        <w:t>为</w:t>
      </w:r>
      <w:r w:rsidR="00BC427D" w:rsidRPr="00B650B3">
        <w:rPr>
          <w:rFonts w:ascii="楷体_GB2312" w:eastAsia="楷体_GB2312" w:hAnsi="楷体" w:hint="eastAsia"/>
          <w:sz w:val="24"/>
        </w:rPr>
        <w:t>17.32</w:t>
      </w:r>
      <w:r w:rsidR="00A641E8" w:rsidRPr="00B650B3">
        <w:rPr>
          <w:rFonts w:ascii="楷体_GB2312" w:eastAsia="楷体_GB2312" w:hAnsi="楷体" w:hint="eastAsia"/>
          <w:sz w:val="24"/>
        </w:rPr>
        <w:t>%</w:t>
      </w:r>
      <w:r w:rsidR="006A6AE7" w:rsidRPr="00B650B3">
        <w:rPr>
          <w:rFonts w:ascii="楷体_GB2312" w:eastAsia="楷体_GB2312" w:hAnsi="楷体" w:hint="eastAsia"/>
          <w:sz w:val="24"/>
        </w:rPr>
        <w:t>。</w:t>
      </w:r>
      <w:r w:rsidR="00BC427D" w:rsidRPr="00B650B3">
        <w:rPr>
          <w:rFonts w:ascii="楷体_GB2312" w:eastAsia="楷体_GB2312" w:hAnsi="楷体" w:hint="eastAsia"/>
          <w:sz w:val="24"/>
        </w:rPr>
        <w:t>30天</w:t>
      </w:r>
      <w:r w:rsidR="00A73BC5" w:rsidRPr="00B650B3">
        <w:rPr>
          <w:rFonts w:ascii="楷体_GB2312" w:eastAsia="楷体_GB2312" w:hAnsi="楷体" w:hint="eastAsia"/>
          <w:sz w:val="24"/>
        </w:rPr>
        <w:t>历史波动率</w:t>
      </w:r>
      <w:r w:rsidR="006A6AE7" w:rsidRPr="00B650B3">
        <w:rPr>
          <w:rFonts w:ascii="楷体_GB2312" w:eastAsia="楷体_GB2312" w:hAnsi="楷体" w:hint="eastAsia"/>
          <w:sz w:val="24"/>
        </w:rPr>
        <w:t>持续走低，28号达到</w:t>
      </w:r>
      <w:r w:rsidR="00BC427D" w:rsidRPr="00B650B3">
        <w:rPr>
          <w:rFonts w:ascii="楷体_GB2312" w:eastAsia="楷体_GB2312" w:hAnsi="楷体" w:hint="eastAsia"/>
          <w:sz w:val="24"/>
        </w:rPr>
        <w:t>12.98</w:t>
      </w:r>
      <w:r w:rsidR="00A73BC5" w:rsidRPr="00B650B3">
        <w:rPr>
          <w:rFonts w:ascii="楷体_GB2312" w:eastAsia="楷体_GB2312" w:hAnsi="楷体" w:hint="eastAsia"/>
          <w:sz w:val="24"/>
        </w:rPr>
        <w:t>%</w:t>
      </w:r>
      <w:r w:rsidR="006A6AE7" w:rsidRPr="00B650B3">
        <w:rPr>
          <w:rFonts w:ascii="楷体_GB2312" w:eastAsia="楷体_GB2312" w:hAnsi="楷体" w:hint="eastAsia"/>
          <w:sz w:val="24"/>
        </w:rPr>
        <w:t>的新低</w:t>
      </w:r>
      <w:r w:rsidR="0008355D" w:rsidRPr="00B650B3">
        <w:rPr>
          <w:rFonts w:ascii="楷体_GB2312" w:eastAsia="楷体_GB2312" w:hAnsi="楷体" w:hint="eastAsia"/>
          <w:sz w:val="24"/>
        </w:rPr>
        <w:t>。</w:t>
      </w:r>
      <w:r w:rsidR="00375911" w:rsidRPr="00B650B3">
        <w:rPr>
          <w:rFonts w:ascii="楷体_GB2312" w:eastAsia="楷体_GB2312" w:hAnsi="楷体" w:hint="eastAsia"/>
          <w:sz w:val="24"/>
        </w:rPr>
        <w:t>目前白糖</w:t>
      </w:r>
      <w:r w:rsidR="00A641E8" w:rsidRPr="00B650B3">
        <w:rPr>
          <w:rFonts w:ascii="楷体_GB2312" w:eastAsia="楷体_GB2312" w:hAnsi="楷体" w:hint="eastAsia"/>
          <w:sz w:val="24"/>
        </w:rPr>
        <w:t>1901</w:t>
      </w:r>
      <w:r w:rsidR="00375911" w:rsidRPr="00B650B3">
        <w:rPr>
          <w:rFonts w:ascii="楷体_GB2312" w:eastAsia="楷体_GB2312" w:hAnsi="楷体" w:hint="eastAsia"/>
          <w:sz w:val="24"/>
        </w:rPr>
        <w:t>合约平值期权行权价</w:t>
      </w:r>
      <w:r w:rsidR="00DF07A9" w:rsidRPr="00B650B3">
        <w:rPr>
          <w:rFonts w:ascii="楷体_GB2312" w:eastAsia="楷体_GB2312" w:hAnsi="楷体" w:hint="eastAsia"/>
          <w:sz w:val="24"/>
        </w:rPr>
        <w:t>在</w:t>
      </w:r>
      <w:r w:rsidR="006A6AE7" w:rsidRPr="00B650B3">
        <w:rPr>
          <w:rFonts w:ascii="楷体_GB2312" w:eastAsia="楷体_GB2312" w:hAnsi="楷体" w:hint="eastAsia"/>
          <w:sz w:val="24"/>
        </w:rPr>
        <w:t>5000</w:t>
      </w:r>
      <w:r w:rsidR="00375911" w:rsidRPr="00B650B3">
        <w:rPr>
          <w:rFonts w:ascii="楷体_GB2312" w:eastAsia="楷体_GB2312" w:hAnsi="楷体" w:hint="eastAsia"/>
          <w:sz w:val="24"/>
        </w:rPr>
        <w:t>的位置。从白糖历史</w:t>
      </w:r>
      <w:proofErr w:type="gramStart"/>
      <w:r w:rsidR="00375911" w:rsidRPr="00B650B3">
        <w:rPr>
          <w:rFonts w:ascii="楷体_GB2312" w:eastAsia="楷体_GB2312" w:hAnsi="楷体" w:hint="eastAsia"/>
          <w:sz w:val="24"/>
        </w:rPr>
        <w:t>波动率锥看</w:t>
      </w:r>
      <w:proofErr w:type="gramEnd"/>
      <w:r w:rsidR="00375911" w:rsidRPr="00B650B3">
        <w:rPr>
          <w:rFonts w:ascii="楷体_GB2312" w:eastAsia="楷体_GB2312" w:hAnsi="楷体" w:hint="eastAsia"/>
          <w:sz w:val="24"/>
        </w:rPr>
        <w:t>，当前</w:t>
      </w:r>
      <w:r w:rsidR="006A6EA5" w:rsidRPr="00B650B3">
        <w:rPr>
          <w:rFonts w:ascii="楷体_GB2312" w:eastAsia="楷体_GB2312" w:hAnsi="楷体" w:hint="eastAsia"/>
          <w:sz w:val="24"/>
        </w:rPr>
        <w:t>5</w:t>
      </w:r>
      <w:r w:rsidR="006A6AE7" w:rsidRPr="00B650B3">
        <w:rPr>
          <w:rFonts w:ascii="楷体_GB2312" w:eastAsia="楷体_GB2312" w:hAnsi="楷体" w:hint="eastAsia"/>
          <w:sz w:val="24"/>
        </w:rPr>
        <w:t>、10、30日</w:t>
      </w:r>
      <w:r w:rsidR="00105968" w:rsidRPr="00B650B3">
        <w:rPr>
          <w:rFonts w:ascii="楷体_GB2312" w:eastAsia="楷体_GB2312" w:hAnsi="楷体" w:hint="eastAsia"/>
          <w:sz w:val="24"/>
        </w:rPr>
        <w:t>历史波动率</w:t>
      </w:r>
      <w:r w:rsidR="006A6AE7" w:rsidRPr="00B650B3">
        <w:rPr>
          <w:rFonts w:ascii="楷体_GB2312" w:eastAsia="楷体_GB2312" w:hAnsi="楷体" w:hint="eastAsia"/>
          <w:sz w:val="24"/>
        </w:rPr>
        <w:t>均</w:t>
      </w:r>
      <w:r w:rsidR="000E5067" w:rsidRPr="00B650B3">
        <w:rPr>
          <w:rFonts w:ascii="楷体_GB2312" w:eastAsia="楷体_GB2312" w:hAnsi="楷体" w:hint="eastAsia"/>
          <w:sz w:val="24"/>
        </w:rPr>
        <w:t>在</w:t>
      </w:r>
      <w:r w:rsidR="00A73BC5" w:rsidRPr="00B650B3">
        <w:rPr>
          <w:rFonts w:ascii="楷体_GB2312" w:eastAsia="楷体_GB2312" w:hAnsi="楷体" w:hint="eastAsia"/>
          <w:sz w:val="24"/>
        </w:rPr>
        <w:t>中位数</w:t>
      </w:r>
      <w:r w:rsidR="006A6AE7" w:rsidRPr="00B650B3">
        <w:rPr>
          <w:rFonts w:ascii="楷体_GB2312" w:eastAsia="楷体_GB2312" w:hAnsi="楷体" w:hint="eastAsia"/>
          <w:sz w:val="24"/>
        </w:rPr>
        <w:t>到四分之三分位数之间</w:t>
      </w:r>
      <w:r w:rsidR="00A05E06" w:rsidRPr="00B650B3">
        <w:rPr>
          <w:rFonts w:ascii="楷体_GB2312" w:eastAsia="楷体_GB2312" w:hAnsi="楷体" w:hint="eastAsia"/>
          <w:sz w:val="24"/>
        </w:rPr>
        <w:t>的位置</w:t>
      </w:r>
      <w:r w:rsidR="001F1782" w:rsidRPr="00B650B3">
        <w:rPr>
          <w:rFonts w:ascii="楷体_GB2312" w:eastAsia="楷体_GB2312" w:hAnsi="楷体" w:hint="eastAsia"/>
          <w:sz w:val="24"/>
        </w:rPr>
        <w:t>，</w:t>
      </w:r>
      <w:r w:rsidR="006A6AE7" w:rsidRPr="00B650B3">
        <w:rPr>
          <w:rFonts w:ascii="楷体_GB2312" w:eastAsia="楷体_GB2312" w:hAnsi="楷体" w:hint="eastAsia"/>
          <w:sz w:val="24"/>
        </w:rPr>
        <w:t>5</w:t>
      </w:r>
      <w:r w:rsidR="00196023" w:rsidRPr="00B650B3">
        <w:rPr>
          <w:rFonts w:ascii="楷体_GB2312" w:eastAsia="楷体_GB2312" w:hAnsi="楷体" w:hint="eastAsia"/>
          <w:sz w:val="24"/>
        </w:rPr>
        <w:t>日历史波动率</w:t>
      </w:r>
      <w:r w:rsidR="00A73BC5" w:rsidRPr="00B650B3">
        <w:rPr>
          <w:rFonts w:ascii="楷体_GB2312" w:eastAsia="楷体_GB2312" w:hAnsi="楷体" w:hint="eastAsia"/>
          <w:sz w:val="24"/>
        </w:rPr>
        <w:t>与上周相比有</w:t>
      </w:r>
      <w:r w:rsidR="006A6AE7" w:rsidRPr="00B650B3">
        <w:rPr>
          <w:rFonts w:ascii="楷体_GB2312" w:eastAsia="楷体_GB2312" w:hAnsi="楷体" w:hint="eastAsia"/>
          <w:sz w:val="24"/>
        </w:rPr>
        <w:t>大幅上升</w:t>
      </w:r>
      <w:r w:rsidR="00196023" w:rsidRPr="00B650B3">
        <w:rPr>
          <w:rFonts w:ascii="楷体_GB2312" w:eastAsia="楷体_GB2312" w:hAnsi="楷体" w:hint="eastAsia"/>
          <w:sz w:val="24"/>
        </w:rPr>
        <w:t>。</w:t>
      </w:r>
    </w:p>
    <w:p w14:paraId="17BBB9A9" w14:textId="77086575" w:rsidR="00196023" w:rsidRDefault="00196023" w:rsidP="00FE298B">
      <w:pPr>
        <w:spacing w:line="400" w:lineRule="exact"/>
        <w:ind w:firstLineChars="200" w:firstLine="480"/>
        <w:rPr>
          <w:rFonts w:ascii="楷体_GB2312" w:eastAsia="楷体_GB2312" w:hAnsi="楷体"/>
          <w:sz w:val="24"/>
        </w:rPr>
      </w:pPr>
      <w:r w:rsidRPr="00B650B3">
        <w:rPr>
          <w:rFonts w:ascii="楷体_GB2312" w:eastAsia="楷体_GB2312" w:hAnsi="楷体" w:hint="eastAsia"/>
          <w:sz w:val="24"/>
        </w:rPr>
        <w:t>从</w:t>
      </w:r>
      <w:r w:rsidR="00375911" w:rsidRPr="00B650B3">
        <w:rPr>
          <w:rFonts w:ascii="楷体_GB2312" w:eastAsia="楷体_GB2312" w:hAnsi="楷体" w:hint="eastAsia"/>
          <w:sz w:val="24"/>
        </w:rPr>
        <w:t>白糖平值期权</w:t>
      </w:r>
      <w:r w:rsidR="00375911" w:rsidRPr="00FC5B25">
        <w:rPr>
          <w:rFonts w:ascii="楷体_GB2312" w:eastAsia="楷体_GB2312" w:hAnsi="楷体" w:hint="eastAsia"/>
          <w:sz w:val="24"/>
        </w:rPr>
        <w:t>隐含波动率</w:t>
      </w:r>
      <w:r w:rsidR="00C6249B" w:rsidRPr="00FC5B25">
        <w:rPr>
          <w:rFonts w:ascii="楷体_GB2312" w:eastAsia="楷体_GB2312" w:hAnsi="楷体" w:hint="eastAsia"/>
          <w:sz w:val="24"/>
        </w:rPr>
        <w:t>期限结构</w:t>
      </w:r>
      <w:r w:rsidR="00375911" w:rsidRPr="00FC5B25">
        <w:rPr>
          <w:rFonts w:ascii="楷体_GB2312" w:eastAsia="楷体_GB2312" w:hAnsi="楷体" w:hint="eastAsia"/>
          <w:sz w:val="24"/>
        </w:rPr>
        <w:t>情况分析，合约平值期权波动率</w:t>
      </w:r>
      <w:r w:rsidR="00FE298B">
        <w:rPr>
          <w:rFonts w:ascii="楷体_GB2312" w:eastAsia="楷体_GB2312" w:hAnsi="楷体" w:hint="eastAsia"/>
          <w:sz w:val="24"/>
        </w:rPr>
        <w:t>呈现远</w:t>
      </w:r>
      <w:proofErr w:type="gramStart"/>
      <w:r w:rsidR="00FE298B">
        <w:rPr>
          <w:rFonts w:ascii="楷体_GB2312" w:eastAsia="楷体_GB2312" w:hAnsi="楷体" w:hint="eastAsia"/>
          <w:sz w:val="24"/>
        </w:rPr>
        <w:t>低近高的</w:t>
      </w:r>
      <w:proofErr w:type="gramEnd"/>
      <w:r w:rsidR="00FE298B">
        <w:rPr>
          <w:rFonts w:ascii="楷体_GB2312" w:eastAsia="楷体_GB2312" w:hAnsi="楷体" w:hint="eastAsia"/>
          <w:sz w:val="24"/>
        </w:rPr>
        <w:t>形态</w:t>
      </w:r>
      <w:r w:rsidR="00375911" w:rsidRPr="00FC5B25">
        <w:rPr>
          <w:rFonts w:ascii="楷体_GB2312" w:eastAsia="楷体_GB2312" w:hAnsi="楷体" w:hint="eastAsia"/>
          <w:sz w:val="24"/>
        </w:rPr>
        <w:t>。</w:t>
      </w:r>
      <w:r>
        <w:rPr>
          <w:rFonts w:ascii="楷体_GB2312" w:eastAsia="楷体_GB2312" w:hAnsi="楷体" w:hint="eastAsia"/>
          <w:sz w:val="24"/>
        </w:rPr>
        <w:t>本周与上周结构保持一致。</w:t>
      </w:r>
    </w:p>
    <w:p w14:paraId="5523BD4B" w14:textId="4E7044AF" w:rsidR="00196023" w:rsidRDefault="00FE298B" w:rsidP="00FE298B">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依据</w:t>
      </w:r>
      <w:r>
        <w:rPr>
          <w:rFonts w:ascii="楷体_GB2312" w:eastAsia="楷体_GB2312" w:hint="eastAsia"/>
          <w:sz w:val="24"/>
          <w:szCs w:val="24"/>
        </w:rPr>
        <w:t>白糖</w:t>
      </w:r>
      <w:r w:rsidRPr="00A96A91">
        <w:rPr>
          <w:rFonts w:ascii="楷体_GB2312" w:eastAsia="楷体_GB2312" w:hint="eastAsia"/>
          <w:sz w:val="24"/>
          <w:szCs w:val="24"/>
        </w:rPr>
        <w:t>合约的隐含波动率偏度情况看</w:t>
      </w:r>
      <w:r w:rsidRPr="00B87818">
        <w:rPr>
          <w:rFonts w:ascii="楷体_GB2312" w:eastAsia="楷体_GB2312" w:hint="eastAsia"/>
          <w:sz w:val="24"/>
          <w:szCs w:val="24"/>
        </w:rPr>
        <w:t>，本周</w:t>
      </w:r>
      <w:r>
        <w:rPr>
          <w:rFonts w:ascii="楷体_GB2312" w:eastAsia="楷体_GB2312" w:hint="eastAsia"/>
          <w:sz w:val="24"/>
          <w:szCs w:val="24"/>
        </w:rPr>
        <w:t>白糖</w:t>
      </w:r>
      <w:r w:rsidRPr="00B87818">
        <w:rPr>
          <w:rFonts w:ascii="楷体_GB2312" w:eastAsia="楷体_GB2312" w:hint="eastAsia"/>
          <w:sz w:val="24"/>
          <w:szCs w:val="24"/>
        </w:rPr>
        <w:t>1901合约</w:t>
      </w:r>
      <w:r w:rsidR="00900334">
        <w:rPr>
          <w:rFonts w:ascii="楷体_GB2312" w:eastAsia="楷体_GB2312" w:hint="eastAsia"/>
          <w:sz w:val="24"/>
          <w:szCs w:val="24"/>
        </w:rPr>
        <w:t>看跌期权</w:t>
      </w:r>
      <w:r w:rsidRPr="00B87818">
        <w:rPr>
          <w:rFonts w:ascii="楷体_GB2312" w:eastAsia="楷体_GB2312" w:hint="eastAsia"/>
          <w:sz w:val="24"/>
          <w:szCs w:val="24"/>
        </w:rPr>
        <w:t>波动率</w:t>
      </w:r>
      <w:r>
        <w:rPr>
          <w:rFonts w:ascii="楷体_GB2312" w:eastAsia="楷体_GB2312" w:hint="eastAsia"/>
          <w:sz w:val="24"/>
          <w:szCs w:val="24"/>
        </w:rPr>
        <w:t>呈现</w:t>
      </w:r>
      <w:r w:rsidR="00900334">
        <w:rPr>
          <w:rFonts w:ascii="楷体_GB2312" w:eastAsia="楷体_GB2312" w:hint="eastAsia"/>
          <w:sz w:val="24"/>
          <w:szCs w:val="24"/>
        </w:rPr>
        <w:t>右偏</w:t>
      </w:r>
      <w:r>
        <w:rPr>
          <w:rFonts w:ascii="楷体_GB2312" w:eastAsia="楷体_GB2312" w:hint="eastAsia"/>
          <w:sz w:val="24"/>
          <w:szCs w:val="24"/>
        </w:rPr>
        <w:t>的态势</w:t>
      </w:r>
      <w:r w:rsidRPr="00B87818">
        <w:rPr>
          <w:rFonts w:ascii="楷体_GB2312" w:eastAsia="楷体_GB2312" w:hint="eastAsia"/>
          <w:sz w:val="24"/>
          <w:szCs w:val="24"/>
        </w:rPr>
        <w:t>，</w:t>
      </w:r>
      <w:r w:rsidR="00900334">
        <w:rPr>
          <w:rFonts w:ascii="楷体_GB2312" w:eastAsia="楷体_GB2312" w:hint="eastAsia"/>
          <w:sz w:val="24"/>
          <w:szCs w:val="24"/>
        </w:rPr>
        <w:t>看涨期权基本保持平坦的态势。</w:t>
      </w:r>
    </w:p>
    <w:p w14:paraId="2A474285" w14:textId="731DE15F" w:rsidR="007E1029" w:rsidRPr="00B650B3" w:rsidRDefault="00A05E06" w:rsidP="00B650B3">
      <w:pPr>
        <w:spacing w:line="400" w:lineRule="exact"/>
        <w:ind w:firstLineChars="200" w:firstLine="480"/>
        <w:rPr>
          <w:rFonts w:ascii="楷体_GB2312" w:eastAsia="楷体_GB2312" w:hAnsi="楷体"/>
          <w:sz w:val="24"/>
        </w:rPr>
      </w:pPr>
      <w:r w:rsidRPr="00AA5B7F">
        <w:rPr>
          <w:rFonts w:ascii="楷体_GB2312" w:eastAsia="楷体_GB2312" w:hAnsi="楷体" w:hint="eastAsia"/>
          <w:sz w:val="24"/>
        </w:rPr>
        <w:t>整体来</w:t>
      </w:r>
      <w:r>
        <w:rPr>
          <w:rFonts w:ascii="楷体_GB2312" w:eastAsia="楷体_GB2312" w:hAnsi="楷体" w:hint="eastAsia"/>
          <w:sz w:val="24"/>
        </w:rPr>
        <w:t>看，近期白糖期权</w:t>
      </w:r>
      <w:r w:rsidR="001F1782">
        <w:rPr>
          <w:rFonts w:ascii="楷体_GB2312" w:eastAsia="楷体_GB2312" w:hAnsi="楷体" w:hint="eastAsia"/>
          <w:sz w:val="24"/>
        </w:rPr>
        <w:t>历史</w:t>
      </w:r>
      <w:r>
        <w:rPr>
          <w:rFonts w:ascii="楷体_GB2312" w:eastAsia="楷体_GB2312" w:hAnsi="楷体" w:hint="eastAsia"/>
          <w:sz w:val="24"/>
        </w:rPr>
        <w:t>波动率</w:t>
      </w:r>
      <w:r w:rsidR="00900334">
        <w:rPr>
          <w:rFonts w:ascii="楷体_GB2312" w:eastAsia="楷体_GB2312" w:hAnsi="楷体" w:hint="eastAsia"/>
          <w:sz w:val="24"/>
        </w:rPr>
        <w:t>持续</w:t>
      </w:r>
      <w:r w:rsidR="00196023">
        <w:rPr>
          <w:rFonts w:ascii="楷体_GB2312" w:eastAsia="楷体_GB2312" w:hAnsi="楷体" w:hint="eastAsia"/>
          <w:sz w:val="24"/>
        </w:rPr>
        <w:t>下降</w:t>
      </w:r>
      <w:r>
        <w:rPr>
          <w:rFonts w:ascii="楷体_GB2312" w:eastAsia="楷体_GB2312" w:hAnsi="楷体" w:hint="eastAsia"/>
          <w:sz w:val="24"/>
        </w:rPr>
        <w:t>，</w:t>
      </w:r>
      <w:r w:rsidR="001F1782">
        <w:rPr>
          <w:rFonts w:ascii="楷体_GB2312" w:eastAsia="楷体_GB2312" w:hAnsi="楷体" w:hint="eastAsia"/>
          <w:sz w:val="24"/>
        </w:rPr>
        <w:t>隐含波动率也处于震荡趋势</w:t>
      </w:r>
      <w:r>
        <w:rPr>
          <w:rFonts w:ascii="楷体_GB2312" w:eastAsia="楷体_GB2312" w:hAnsi="楷体" w:hint="eastAsia"/>
          <w:sz w:val="24"/>
        </w:rPr>
        <w:t>。</w:t>
      </w:r>
      <w:proofErr w:type="gramStart"/>
      <w:r w:rsidR="00900334" w:rsidRPr="00761B35">
        <w:rPr>
          <w:rFonts w:ascii="楷体_GB2312" w:eastAsia="楷体_GB2312" w:hAnsi="楷体" w:hint="eastAsia"/>
          <w:sz w:val="24"/>
        </w:rPr>
        <w:t>国内郑糖</w:t>
      </w:r>
      <w:proofErr w:type="gramEnd"/>
      <w:r w:rsidR="00900334" w:rsidRPr="00761B35">
        <w:rPr>
          <w:rFonts w:ascii="楷体_GB2312" w:eastAsia="楷体_GB2312" w:hAnsi="楷体" w:hint="eastAsia"/>
          <w:sz w:val="24"/>
        </w:rPr>
        <w:t>短期或延续反弹走势，反弹高点或高于上次，</w:t>
      </w:r>
      <w:proofErr w:type="gramStart"/>
      <w:r w:rsidR="00900334" w:rsidRPr="00761B35">
        <w:rPr>
          <w:rFonts w:ascii="楷体_GB2312" w:eastAsia="楷体_GB2312" w:hAnsi="楷体" w:hint="eastAsia"/>
          <w:sz w:val="24"/>
        </w:rPr>
        <w:t>郑糖短线</w:t>
      </w:r>
      <w:proofErr w:type="gramEnd"/>
      <w:r w:rsidR="00900334" w:rsidRPr="00761B35">
        <w:rPr>
          <w:rFonts w:ascii="楷体_GB2312" w:eastAsia="楷体_GB2312" w:hAnsi="楷体" w:hint="eastAsia"/>
          <w:sz w:val="24"/>
        </w:rPr>
        <w:t>偏多</w:t>
      </w:r>
      <w:r>
        <w:rPr>
          <w:rFonts w:ascii="楷体_GB2312" w:eastAsia="楷体_GB2312" w:hAnsi="楷体" w:hint="eastAsia"/>
          <w:sz w:val="24"/>
        </w:rPr>
        <w:t>，未来</w:t>
      </w:r>
      <w:r w:rsidR="00784CA4">
        <w:rPr>
          <w:rFonts w:ascii="楷体_GB2312" w:eastAsia="楷体_GB2312" w:hAnsi="楷体" w:hint="eastAsia"/>
          <w:sz w:val="24"/>
        </w:rPr>
        <w:t>期权</w:t>
      </w:r>
      <w:r w:rsidR="00B650B3">
        <w:rPr>
          <w:rFonts w:ascii="楷体_GB2312" w:eastAsia="楷体_GB2312" w:hAnsi="楷体" w:hint="eastAsia"/>
          <w:sz w:val="24"/>
        </w:rPr>
        <w:t>隐含</w:t>
      </w:r>
      <w:r>
        <w:rPr>
          <w:rFonts w:ascii="楷体_GB2312" w:eastAsia="楷体_GB2312" w:hAnsi="楷体" w:hint="eastAsia"/>
          <w:sz w:val="24"/>
        </w:rPr>
        <w:t>波动率有维持震荡或震荡走</w:t>
      </w:r>
      <w:r w:rsidR="00B650B3">
        <w:rPr>
          <w:rFonts w:ascii="楷体_GB2312" w:eastAsia="楷体_GB2312" w:hAnsi="楷体" w:hint="eastAsia"/>
          <w:sz w:val="24"/>
        </w:rPr>
        <w:t>高</w:t>
      </w:r>
      <w:r>
        <w:rPr>
          <w:rFonts w:ascii="楷体_GB2312" w:eastAsia="楷体_GB2312" w:hAnsi="楷体" w:hint="eastAsia"/>
          <w:sz w:val="24"/>
        </w:rPr>
        <w:t>的可能。</w:t>
      </w:r>
    </w:p>
    <w:p w14:paraId="5D80DF69" w14:textId="77777777" w:rsidR="00195F8A" w:rsidRPr="00B650B3"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338D66ED"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CE00E3">
        <w:rPr>
          <w:noProof/>
        </w:rPr>
        <w:drawing>
          <wp:inline distT="0" distB="0" distL="0" distR="0" wp14:anchorId="1DEC8BC3" wp14:editId="57069BA1">
            <wp:extent cx="5823585" cy="3200400"/>
            <wp:effectExtent l="0" t="0" r="24765" b="1905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35C0E43E" w14:textId="77777777" w:rsidR="00A9605A" w:rsidRDefault="00A9605A" w:rsidP="005160ED">
      <w:pPr>
        <w:ind w:rightChars="-416" w:right="-874"/>
        <w:rPr>
          <w:rFonts w:ascii="楷体_GB2312" w:eastAsia="楷体_GB2312" w:hAnsi="楷体"/>
          <w:b/>
        </w:rPr>
      </w:pPr>
    </w:p>
    <w:p w14:paraId="4400E03C" w14:textId="77777777" w:rsidR="00A9605A" w:rsidRDefault="00A9605A" w:rsidP="005160ED">
      <w:pPr>
        <w:ind w:rightChars="-416" w:right="-874"/>
        <w:rPr>
          <w:rFonts w:ascii="楷体_GB2312" w:eastAsia="楷体_GB2312" w:hAnsi="楷体"/>
          <w:b/>
        </w:rPr>
      </w:pPr>
    </w:p>
    <w:p w14:paraId="70A74319" w14:textId="77777777" w:rsidR="00A9605A" w:rsidRDefault="00A9605A" w:rsidP="005160ED">
      <w:pPr>
        <w:ind w:rightChars="-416" w:right="-874"/>
        <w:rPr>
          <w:rFonts w:ascii="楷体_GB2312" w:eastAsia="楷体_GB2312" w:hAnsi="楷体"/>
          <w:b/>
        </w:rPr>
      </w:pPr>
    </w:p>
    <w:p w14:paraId="5BC60619" w14:textId="77777777" w:rsidR="00A9605A" w:rsidRDefault="00A9605A" w:rsidP="005160ED">
      <w:pPr>
        <w:ind w:rightChars="-416" w:right="-874"/>
        <w:rPr>
          <w:rFonts w:ascii="楷体_GB2312" w:eastAsia="楷体_GB2312" w:hAnsi="楷体"/>
          <w:b/>
        </w:rPr>
      </w:pPr>
    </w:p>
    <w:p w14:paraId="56E4DC33" w14:textId="77777777" w:rsidR="004665D1" w:rsidRDefault="004665D1" w:rsidP="005160ED">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15FD022C"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CE00E3">
        <w:rPr>
          <w:noProof/>
        </w:rPr>
        <w:drawing>
          <wp:inline distT="0" distB="0" distL="0" distR="0" wp14:anchorId="36EC4716" wp14:editId="6EDE7711">
            <wp:extent cx="5890260" cy="3057525"/>
            <wp:effectExtent l="0" t="0" r="15240" b="952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0F5F9FB7"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0AD4B77F">
                <wp:simplePos x="0" y="0"/>
                <wp:positionH relativeFrom="column">
                  <wp:posOffset>-1270</wp:posOffset>
                </wp:positionH>
                <wp:positionV relativeFrom="paragraph">
                  <wp:posOffset>3300095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GhwqEAxAgAANgQAAA4AAAAAAAAAAAAAAAAALgIA&#10;AGRycy9lMm9Eb2MueG1sUEsBAi0AFAAGAAgAAAAhAHW8ANn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CE00E3">
        <w:rPr>
          <w:noProof/>
        </w:rPr>
        <w:drawing>
          <wp:inline distT="0" distB="0" distL="0" distR="0" wp14:anchorId="1C267DF3" wp14:editId="31EE48F9">
            <wp:extent cx="5823585" cy="3238500"/>
            <wp:effectExtent l="0" t="0" r="24765" b="1905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lastRenderedPageBreak/>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7836D973"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66297FDE">
                <wp:simplePos x="0" y="0"/>
                <wp:positionH relativeFrom="column">
                  <wp:posOffset>4445</wp:posOffset>
                </wp:positionH>
                <wp:positionV relativeFrom="paragraph">
                  <wp:posOffset>3140075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7.25pt" to="464.1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" strokecolor="teal" strokeweight="2.25pt"/>
            </w:pict>
          </mc:Fallback>
        </mc:AlternateContent>
      </w:r>
      <w:r w:rsidR="003122CC" w:rsidRPr="003122CC">
        <w:rPr>
          <w:noProof/>
        </w:rPr>
        <w:t xml:space="preserve"> </w:t>
      </w:r>
      <w:r w:rsidR="00BC427D">
        <w:rPr>
          <w:noProof/>
        </w:rPr>
        <w:drawing>
          <wp:inline distT="0" distB="0" distL="0" distR="0" wp14:anchorId="02039101" wp14:editId="653C323F">
            <wp:extent cx="5823585" cy="3057525"/>
            <wp:effectExtent l="0" t="0" r="24765" b="952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1BE59B31" w14:textId="6DF6F647" w:rsidR="00B650B3" w:rsidRPr="00B650B3" w:rsidRDefault="00FC5B25" w:rsidP="00B650B3">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001F1782">
        <w:rPr>
          <w:rFonts w:ascii="楷体_GB2312" w:eastAsia="楷体_GB2312" w:hAnsi="楷体" w:hint="eastAsia"/>
          <w:sz w:val="24"/>
        </w:rPr>
        <w:t>，</w:t>
      </w:r>
      <w:r w:rsidR="00B650B3" w:rsidRPr="00761B35">
        <w:rPr>
          <w:rFonts w:ascii="楷体_GB2312" w:eastAsia="楷体_GB2312" w:hAnsi="楷体" w:hint="eastAsia"/>
          <w:sz w:val="24"/>
        </w:rPr>
        <w:t>国庆假期期间美盘原糖大幅上涨，且此次价格高点已经高于上次反弹的高点。假期期间巴西货币雷亚尔大幅上涨，巴西大选带动货币走强。原油价格再创新高，能源价格的走强间接利多糖价。另一方面印度的出口补贴已经公布，但当下对贸易流冲击有限，仍需要给出合适的价格，这也导致低位的原糖价格下跌动力不足，印度四季度出口有限。中期的利多或是给糖价有支撑的因素，巴西和欧洲的</w:t>
      </w:r>
      <w:proofErr w:type="gramStart"/>
      <w:r w:rsidR="00B650B3" w:rsidRPr="00761B35">
        <w:rPr>
          <w:rFonts w:ascii="楷体_GB2312" w:eastAsia="楷体_GB2312" w:hAnsi="楷体" w:hint="eastAsia"/>
          <w:sz w:val="24"/>
        </w:rPr>
        <w:t>减产仍</w:t>
      </w:r>
      <w:proofErr w:type="gramEnd"/>
      <w:r w:rsidR="00B650B3" w:rsidRPr="00761B35">
        <w:rPr>
          <w:rFonts w:ascii="楷体_GB2312" w:eastAsia="楷体_GB2312" w:hAnsi="楷体" w:hint="eastAsia"/>
          <w:sz w:val="24"/>
        </w:rPr>
        <w:t>对价格有支撑，但长期利空担忧仍在。假期期间国内休市，北方甜菜糖开榨，但是有消息传出，甜菜含糖率低于预期，或导致甜菜糖增产不及预期，另外榨季初甜菜更倾向于生产绵白糖，对于盘</w:t>
      </w:r>
      <w:proofErr w:type="gramStart"/>
      <w:r w:rsidR="00B650B3" w:rsidRPr="00761B35">
        <w:rPr>
          <w:rFonts w:ascii="楷体_GB2312" w:eastAsia="楷体_GB2312" w:hAnsi="楷体" w:hint="eastAsia"/>
          <w:sz w:val="24"/>
        </w:rPr>
        <w:t>面冲击</w:t>
      </w:r>
      <w:proofErr w:type="gramEnd"/>
      <w:r w:rsidR="00B650B3" w:rsidRPr="00761B35">
        <w:rPr>
          <w:rFonts w:ascii="楷体_GB2312" w:eastAsia="楷体_GB2312" w:hAnsi="楷体" w:hint="eastAsia"/>
          <w:sz w:val="24"/>
        </w:rPr>
        <w:t>有所减弱。再加上外盘大幅上涨，因此</w:t>
      </w:r>
      <w:proofErr w:type="gramStart"/>
      <w:r w:rsidR="00B650B3" w:rsidRPr="00761B35">
        <w:rPr>
          <w:rFonts w:ascii="楷体_GB2312" w:eastAsia="楷体_GB2312" w:hAnsi="楷体" w:hint="eastAsia"/>
          <w:sz w:val="24"/>
        </w:rPr>
        <w:t>国内郑糖</w:t>
      </w:r>
      <w:proofErr w:type="gramEnd"/>
      <w:r w:rsidR="00B650B3" w:rsidRPr="00761B35">
        <w:rPr>
          <w:rFonts w:ascii="楷体_GB2312" w:eastAsia="楷体_GB2312" w:hAnsi="楷体" w:hint="eastAsia"/>
          <w:sz w:val="24"/>
        </w:rPr>
        <w:t>短期或延续反弹走势，反弹高点或高于上次，</w:t>
      </w:r>
      <w:proofErr w:type="gramStart"/>
      <w:r w:rsidR="00B650B3" w:rsidRPr="00761B35">
        <w:rPr>
          <w:rFonts w:ascii="楷体_GB2312" w:eastAsia="楷体_GB2312" w:hAnsi="楷体" w:hint="eastAsia"/>
          <w:sz w:val="24"/>
        </w:rPr>
        <w:t>郑糖短线</w:t>
      </w:r>
      <w:proofErr w:type="gramEnd"/>
      <w:r w:rsidR="00B650B3" w:rsidRPr="00761B35">
        <w:rPr>
          <w:rFonts w:ascii="楷体_GB2312" w:eastAsia="楷体_GB2312" w:hAnsi="楷体" w:hint="eastAsia"/>
          <w:sz w:val="24"/>
        </w:rPr>
        <w:t>偏多，中期</w:t>
      </w:r>
      <w:r w:rsidR="00B650B3">
        <w:rPr>
          <w:rFonts w:ascii="楷体_GB2312" w:eastAsia="楷体_GB2312" w:hAnsi="楷体" w:hint="eastAsia"/>
          <w:sz w:val="24"/>
        </w:rPr>
        <w:t>仍偏弱</w:t>
      </w:r>
      <w:r w:rsidR="00B650B3" w:rsidRPr="00761B35">
        <w:rPr>
          <w:rFonts w:ascii="楷体_GB2312" w:eastAsia="楷体_GB2312" w:hAnsi="楷体" w:hint="eastAsia"/>
          <w:sz w:val="24"/>
        </w:rPr>
        <w:t>。</w:t>
      </w:r>
    </w:p>
    <w:p w14:paraId="72316BFF" w14:textId="2643CA0F" w:rsidR="00B650B3" w:rsidRPr="00B650B3" w:rsidRDefault="00FC5B25" w:rsidP="00B650B3">
      <w:pPr>
        <w:spacing w:line="400" w:lineRule="exact"/>
        <w:ind w:firstLineChars="200" w:firstLine="480"/>
        <w:rPr>
          <w:rFonts w:ascii="楷体_GB2312" w:eastAsia="楷体_GB2312" w:hAnsi="楷体"/>
          <w:sz w:val="24"/>
        </w:rPr>
      </w:pPr>
      <w:r w:rsidRPr="00ED3DD7">
        <w:rPr>
          <w:rFonts w:ascii="楷体_GB2312" w:eastAsia="楷体_GB2312" w:hAnsi="楷体" w:hint="eastAsia"/>
          <w:sz w:val="24"/>
        </w:rPr>
        <w:t>期权方面，</w:t>
      </w:r>
      <w:r w:rsidR="00B650B3" w:rsidRPr="00B650B3">
        <w:rPr>
          <w:rFonts w:ascii="楷体_GB2312" w:eastAsia="楷体_GB2312" w:hAnsi="楷体" w:hint="eastAsia"/>
          <w:sz w:val="24"/>
        </w:rPr>
        <w:t>截至9月28日白糖期权合约总持仓量26.47万张，一周平均日成交量4.13万张，交易活跃度一般。整周来看，白糖期权1901合约最大持仓量方面，看涨期权为行权价5400元/吨，看跌期权为行权价为4600元/吨，与上周保持一致。从PCR角度看，</w:t>
      </w:r>
      <w:r w:rsidR="00B650B3">
        <w:rPr>
          <w:rFonts w:ascii="楷体_GB2312" w:eastAsia="楷体_GB2312" w:hAnsi="楷体" w:hint="eastAsia"/>
          <w:sz w:val="24"/>
        </w:rPr>
        <w:t>中长期</w:t>
      </w:r>
      <w:r w:rsidR="00B650B3" w:rsidRPr="00B650B3">
        <w:rPr>
          <w:rFonts w:ascii="楷体_GB2312" w:eastAsia="楷体_GB2312" w:hAnsi="楷体" w:hint="eastAsia"/>
          <w:sz w:val="24"/>
        </w:rPr>
        <w:t>内市场情绪</w:t>
      </w:r>
      <w:r w:rsidR="00B650B3">
        <w:rPr>
          <w:rFonts w:ascii="楷体_GB2312" w:eastAsia="楷体_GB2312" w:hAnsi="楷体" w:hint="eastAsia"/>
          <w:sz w:val="24"/>
        </w:rPr>
        <w:t>仍偏</w:t>
      </w:r>
      <w:r w:rsidR="00B650B3" w:rsidRPr="00B650B3">
        <w:rPr>
          <w:rFonts w:ascii="楷体_GB2312" w:eastAsia="楷体_GB2312" w:hAnsi="楷体" w:hint="eastAsia"/>
          <w:sz w:val="24"/>
        </w:rPr>
        <w:t>悲观。</w:t>
      </w:r>
    </w:p>
    <w:p w14:paraId="5EE747D7" w14:textId="7C6C39F5" w:rsidR="00B650B3" w:rsidRPr="00B650B3" w:rsidRDefault="00B650B3" w:rsidP="009C4236">
      <w:pPr>
        <w:spacing w:line="400" w:lineRule="exact"/>
        <w:ind w:firstLineChars="200" w:firstLine="480"/>
        <w:rPr>
          <w:rFonts w:ascii="楷体_GB2312" w:eastAsia="楷体_GB2312" w:hAnsi="楷体"/>
          <w:sz w:val="24"/>
        </w:rPr>
      </w:pPr>
      <w:r>
        <w:rPr>
          <w:rFonts w:ascii="楷体_GB2312" w:eastAsia="楷体_GB2312" w:hAnsi="楷体" w:hint="eastAsia"/>
          <w:sz w:val="24"/>
        </w:rPr>
        <w:t>从期权波动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w:t>
      </w:r>
      <w:r w:rsidRPr="00B650B3">
        <w:rPr>
          <w:rFonts w:ascii="楷体_GB2312" w:eastAsia="楷体_GB2312" w:hAnsi="楷体" w:hint="eastAsia"/>
          <w:sz w:val="24"/>
        </w:rPr>
        <w:t>本周白糖主力合约1901合约平值隐含波动率保持震荡走势，</w:t>
      </w:r>
      <w:r w:rsidRPr="00B650B3">
        <w:rPr>
          <w:rFonts w:ascii="楷体_GB2312" w:eastAsia="楷体_GB2312" w:hAnsi="楷体" w:hint="eastAsia"/>
          <w:sz w:val="24"/>
        </w:rPr>
        <w:lastRenderedPageBreak/>
        <w:t>周五由于假期因素导致有所上升，9月28日周五为17.32%。30天历史波动率持续走低，28号达到12.98%的新低。从白糖历史</w:t>
      </w:r>
      <w:proofErr w:type="gramStart"/>
      <w:r w:rsidRPr="00B650B3">
        <w:rPr>
          <w:rFonts w:ascii="楷体_GB2312" w:eastAsia="楷体_GB2312" w:hAnsi="楷体" w:hint="eastAsia"/>
          <w:sz w:val="24"/>
        </w:rPr>
        <w:t>波动率锥看</w:t>
      </w:r>
      <w:proofErr w:type="gramEnd"/>
      <w:r w:rsidRPr="00B650B3">
        <w:rPr>
          <w:rFonts w:ascii="楷体_GB2312" w:eastAsia="楷体_GB2312" w:hAnsi="楷体" w:hint="eastAsia"/>
          <w:sz w:val="24"/>
        </w:rPr>
        <w:t>，当前5、10、30日历史波动率均在中位数到四分之三分位数之间的位置，5日历史波动率与上周相比有大幅上升。</w:t>
      </w:r>
      <w:r w:rsidRPr="00AA5B7F">
        <w:rPr>
          <w:rFonts w:ascii="楷体_GB2312" w:eastAsia="楷体_GB2312" w:hAnsi="楷体" w:hint="eastAsia"/>
          <w:sz w:val="24"/>
        </w:rPr>
        <w:t>整体来</w:t>
      </w:r>
      <w:r>
        <w:rPr>
          <w:rFonts w:ascii="楷体_GB2312" w:eastAsia="楷体_GB2312" w:hAnsi="楷体" w:hint="eastAsia"/>
          <w:sz w:val="24"/>
        </w:rPr>
        <w:t>看，近期白糖期权历史波动率持续下降，隐含波动率也处于震荡趋势</w:t>
      </w:r>
      <w:r w:rsidR="009C4236">
        <w:rPr>
          <w:rFonts w:ascii="楷体_GB2312" w:eastAsia="楷体_GB2312" w:hAnsi="楷体" w:hint="eastAsia"/>
          <w:sz w:val="24"/>
        </w:rPr>
        <w:t>。</w:t>
      </w:r>
    </w:p>
    <w:p w14:paraId="2F4CC88E" w14:textId="1E2D120B" w:rsidR="00FC5B25" w:rsidRPr="00764E33" w:rsidRDefault="00FC5B25" w:rsidP="00CC337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w:t>
      </w:r>
      <w:proofErr w:type="gramStart"/>
      <w:r w:rsidR="009C4236">
        <w:rPr>
          <w:rFonts w:ascii="楷体_GB2312" w:eastAsia="楷体_GB2312" w:hAnsi="楷体" w:hint="eastAsia"/>
          <w:sz w:val="24"/>
        </w:rPr>
        <w:t>国内郑糖</w:t>
      </w:r>
      <w:proofErr w:type="gramEnd"/>
      <w:r w:rsidR="009C4236">
        <w:rPr>
          <w:rFonts w:ascii="楷体_GB2312" w:eastAsia="楷体_GB2312" w:hAnsi="楷体" w:hint="eastAsia"/>
          <w:sz w:val="24"/>
        </w:rPr>
        <w:t>短期或延续反弹走势，反弹高点或高于上次，</w:t>
      </w:r>
      <w:r w:rsidR="009C4236" w:rsidRPr="00761B35">
        <w:rPr>
          <w:rFonts w:ascii="楷体_GB2312" w:eastAsia="楷体_GB2312" w:hAnsi="楷体" w:hint="eastAsia"/>
          <w:sz w:val="24"/>
        </w:rPr>
        <w:t>短线偏多</w:t>
      </w:r>
      <w:r w:rsidR="009C4236">
        <w:rPr>
          <w:rFonts w:ascii="楷体_GB2312" w:eastAsia="楷体_GB2312" w:hAnsi="楷体" w:hint="eastAsia"/>
          <w:sz w:val="24"/>
        </w:rPr>
        <w:t>，</w:t>
      </w:r>
      <w:r w:rsidRPr="007E680D">
        <w:rPr>
          <w:rFonts w:ascii="楷体_GB2312" w:eastAsia="楷体_GB2312" w:hAnsi="楷体" w:hint="eastAsia"/>
          <w:sz w:val="24"/>
        </w:rPr>
        <w:t>建议投资者考虑</w:t>
      </w:r>
      <w:r w:rsidR="009C4236">
        <w:rPr>
          <w:rFonts w:ascii="楷体_GB2312" w:eastAsia="楷体_GB2312" w:hAnsi="楷体" w:hint="eastAsia"/>
          <w:sz w:val="24"/>
        </w:rPr>
        <w:t>构建牛市价差策略</w:t>
      </w:r>
      <w:r w:rsidRPr="007E680D">
        <w:rPr>
          <w:rFonts w:ascii="楷体_GB2312" w:eastAsia="楷体_GB2312" w:hAnsi="楷体" w:hint="eastAsia"/>
          <w:sz w:val="24"/>
        </w:rPr>
        <w:t>。</w:t>
      </w:r>
    </w:p>
    <w:p w14:paraId="1216D170" w14:textId="77777777" w:rsidR="00153C47" w:rsidRPr="009C4236"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618A5206"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065135">
        <w:rPr>
          <w:rFonts w:ascii="楷体" w:eastAsia="楷体" w:hAnsi="楷体" w:hint="eastAsia"/>
          <w:sz w:val="24"/>
        </w:rPr>
        <w:t>10</w:t>
      </w:r>
      <w:r w:rsidRPr="002C0A4F">
        <w:rPr>
          <w:rFonts w:ascii="楷体" w:eastAsia="楷体" w:hAnsi="楷体" w:hint="eastAsia"/>
          <w:sz w:val="24"/>
        </w:rPr>
        <w:t>月</w:t>
      </w:r>
      <w:r w:rsidR="00065135">
        <w:rPr>
          <w:rFonts w:ascii="楷体" w:eastAsia="楷体" w:hAnsi="楷体" w:hint="eastAsia"/>
          <w:sz w:val="24"/>
        </w:rPr>
        <w:t>07</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19"/>
      <w:headerReference w:type="default" r:id="rId20"/>
      <w:footerReference w:type="even" r:id="rId21"/>
      <w:footerReference w:type="default" r:id="rId22"/>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409B" w14:textId="77777777" w:rsidR="00A3721F" w:rsidRDefault="00A3721F">
      <w:r>
        <w:separator/>
      </w:r>
    </w:p>
  </w:endnote>
  <w:endnote w:type="continuationSeparator" w:id="0">
    <w:p w14:paraId="5EAC8E25" w14:textId="77777777" w:rsidR="00A3721F" w:rsidRDefault="00A3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5263BA" w:rsidRDefault="005263BA">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5263BA" w:rsidRDefault="005263BA">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5263BA" w:rsidRDefault="005263BA">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9C4236">
      <w:rPr>
        <w:rStyle w:val="a4"/>
        <w:rFonts w:ascii="黑体" w:eastAsia="黑体"/>
        <w:noProof/>
        <w:sz w:val="22"/>
        <w:szCs w:val="22"/>
      </w:rPr>
      <w:t>12</w:t>
    </w:r>
    <w:r>
      <w:rPr>
        <w:rFonts w:ascii="黑体" w:eastAsia="黑体" w:hint="eastAsia"/>
        <w:sz w:val="22"/>
        <w:szCs w:val="22"/>
      </w:rPr>
      <w:fldChar w:fldCharType="end"/>
    </w:r>
  </w:p>
  <w:p w14:paraId="4715436F" w14:textId="77777777" w:rsidR="005263BA" w:rsidRDefault="005263BA">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0764" w14:textId="77777777" w:rsidR="00A3721F" w:rsidRDefault="00A3721F">
      <w:r>
        <w:separator/>
      </w:r>
    </w:p>
  </w:footnote>
  <w:footnote w:type="continuationSeparator" w:id="0">
    <w:p w14:paraId="43C6C4E1" w14:textId="77777777" w:rsidR="00A3721F" w:rsidRDefault="00A3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5263BA" w:rsidRDefault="005263BA"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5263BA" w:rsidRDefault="005263BA"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02F60"/>
    <w:rsid w:val="0001159C"/>
    <w:rsid w:val="0001161C"/>
    <w:rsid w:val="00011C2C"/>
    <w:rsid w:val="000221EC"/>
    <w:rsid w:val="00023DA6"/>
    <w:rsid w:val="000331F0"/>
    <w:rsid w:val="00037135"/>
    <w:rsid w:val="000471AE"/>
    <w:rsid w:val="00051344"/>
    <w:rsid w:val="0005146B"/>
    <w:rsid w:val="000515F3"/>
    <w:rsid w:val="000522B8"/>
    <w:rsid w:val="00056557"/>
    <w:rsid w:val="0006187F"/>
    <w:rsid w:val="00065135"/>
    <w:rsid w:val="00065667"/>
    <w:rsid w:val="00073AB4"/>
    <w:rsid w:val="0007721F"/>
    <w:rsid w:val="0008355D"/>
    <w:rsid w:val="00085B15"/>
    <w:rsid w:val="000921F2"/>
    <w:rsid w:val="000A63E8"/>
    <w:rsid w:val="000B5325"/>
    <w:rsid w:val="000D59A6"/>
    <w:rsid w:val="000E35E1"/>
    <w:rsid w:val="000E3DFC"/>
    <w:rsid w:val="000E5067"/>
    <w:rsid w:val="00105968"/>
    <w:rsid w:val="0011155F"/>
    <w:rsid w:val="0013426A"/>
    <w:rsid w:val="00134C4E"/>
    <w:rsid w:val="001532EF"/>
    <w:rsid w:val="00153C47"/>
    <w:rsid w:val="00154487"/>
    <w:rsid w:val="001553DD"/>
    <w:rsid w:val="001677C3"/>
    <w:rsid w:val="0017476C"/>
    <w:rsid w:val="00181E7B"/>
    <w:rsid w:val="0018365A"/>
    <w:rsid w:val="00190454"/>
    <w:rsid w:val="00193D3C"/>
    <w:rsid w:val="00195F8A"/>
    <w:rsid w:val="00196023"/>
    <w:rsid w:val="001A00B5"/>
    <w:rsid w:val="001A7891"/>
    <w:rsid w:val="001B1802"/>
    <w:rsid w:val="001C3976"/>
    <w:rsid w:val="001D2BB2"/>
    <w:rsid w:val="001D4D64"/>
    <w:rsid w:val="001E0863"/>
    <w:rsid w:val="001E3539"/>
    <w:rsid w:val="001F1782"/>
    <w:rsid w:val="001F5FF4"/>
    <w:rsid w:val="001F7367"/>
    <w:rsid w:val="00204958"/>
    <w:rsid w:val="0021166F"/>
    <w:rsid w:val="00216F42"/>
    <w:rsid w:val="0022066A"/>
    <w:rsid w:val="00223D91"/>
    <w:rsid w:val="002259EC"/>
    <w:rsid w:val="0022687B"/>
    <w:rsid w:val="00233F65"/>
    <w:rsid w:val="00235E83"/>
    <w:rsid w:val="00236A05"/>
    <w:rsid w:val="0024003C"/>
    <w:rsid w:val="00242284"/>
    <w:rsid w:val="00246A9D"/>
    <w:rsid w:val="002472EE"/>
    <w:rsid w:val="0025208B"/>
    <w:rsid w:val="0025255C"/>
    <w:rsid w:val="0025566F"/>
    <w:rsid w:val="002669FD"/>
    <w:rsid w:val="0027339A"/>
    <w:rsid w:val="00277EAA"/>
    <w:rsid w:val="00283030"/>
    <w:rsid w:val="0028528F"/>
    <w:rsid w:val="00296B65"/>
    <w:rsid w:val="002976DE"/>
    <w:rsid w:val="002A21C5"/>
    <w:rsid w:val="002A3578"/>
    <w:rsid w:val="002B0D86"/>
    <w:rsid w:val="002B1823"/>
    <w:rsid w:val="002C3FD9"/>
    <w:rsid w:val="002C76D3"/>
    <w:rsid w:val="002E045A"/>
    <w:rsid w:val="002F23D0"/>
    <w:rsid w:val="002F492D"/>
    <w:rsid w:val="002F7684"/>
    <w:rsid w:val="003026B9"/>
    <w:rsid w:val="00306D05"/>
    <w:rsid w:val="00307869"/>
    <w:rsid w:val="003122CC"/>
    <w:rsid w:val="00312D18"/>
    <w:rsid w:val="00314517"/>
    <w:rsid w:val="003173A2"/>
    <w:rsid w:val="00332614"/>
    <w:rsid w:val="0034571C"/>
    <w:rsid w:val="003506B1"/>
    <w:rsid w:val="003511B2"/>
    <w:rsid w:val="00351218"/>
    <w:rsid w:val="00356219"/>
    <w:rsid w:val="00356C5B"/>
    <w:rsid w:val="00362D16"/>
    <w:rsid w:val="003647C8"/>
    <w:rsid w:val="00373F4D"/>
    <w:rsid w:val="00375911"/>
    <w:rsid w:val="003771C1"/>
    <w:rsid w:val="00382F94"/>
    <w:rsid w:val="00383733"/>
    <w:rsid w:val="00384F44"/>
    <w:rsid w:val="00385FDE"/>
    <w:rsid w:val="00386550"/>
    <w:rsid w:val="00391BE6"/>
    <w:rsid w:val="003A449F"/>
    <w:rsid w:val="003A45D1"/>
    <w:rsid w:val="003A5AF9"/>
    <w:rsid w:val="003A66F9"/>
    <w:rsid w:val="003A696F"/>
    <w:rsid w:val="003B565F"/>
    <w:rsid w:val="003D7226"/>
    <w:rsid w:val="003E7B26"/>
    <w:rsid w:val="003F7202"/>
    <w:rsid w:val="00401196"/>
    <w:rsid w:val="00404265"/>
    <w:rsid w:val="00414E84"/>
    <w:rsid w:val="00431536"/>
    <w:rsid w:val="00436008"/>
    <w:rsid w:val="0043616C"/>
    <w:rsid w:val="004401AB"/>
    <w:rsid w:val="00441619"/>
    <w:rsid w:val="00447CB1"/>
    <w:rsid w:val="00452807"/>
    <w:rsid w:val="00452E06"/>
    <w:rsid w:val="00456184"/>
    <w:rsid w:val="00457DBC"/>
    <w:rsid w:val="004665D1"/>
    <w:rsid w:val="00482002"/>
    <w:rsid w:val="004961D4"/>
    <w:rsid w:val="004A020E"/>
    <w:rsid w:val="004D2829"/>
    <w:rsid w:val="004E316F"/>
    <w:rsid w:val="004E5930"/>
    <w:rsid w:val="004E79C8"/>
    <w:rsid w:val="004F6E73"/>
    <w:rsid w:val="00501645"/>
    <w:rsid w:val="005052A5"/>
    <w:rsid w:val="005160ED"/>
    <w:rsid w:val="00522BBB"/>
    <w:rsid w:val="005263BA"/>
    <w:rsid w:val="00534EEC"/>
    <w:rsid w:val="005351D6"/>
    <w:rsid w:val="00542A69"/>
    <w:rsid w:val="005431C4"/>
    <w:rsid w:val="00543B2A"/>
    <w:rsid w:val="00545E97"/>
    <w:rsid w:val="005471B8"/>
    <w:rsid w:val="00553797"/>
    <w:rsid w:val="00560A9F"/>
    <w:rsid w:val="00563C13"/>
    <w:rsid w:val="00566945"/>
    <w:rsid w:val="005706D3"/>
    <w:rsid w:val="005748FC"/>
    <w:rsid w:val="00580E5E"/>
    <w:rsid w:val="00581C77"/>
    <w:rsid w:val="00591CA5"/>
    <w:rsid w:val="0059340F"/>
    <w:rsid w:val="005A0E0A"/>
    <w:rsid w:val="005A4079"/>
    <w:rsid w:val="005B67FD"/>
    <w:rsid w:val="005C3090"/>
    <w:rsid w:val="005D5F99"/>
    <w:rsid w:val="005E1FA3"/>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ACE"/>
    <w:rsid w:val="00682C08"/>
    <w:rsid w:val="0068358C"/>
    <w:rsid w:val="0068788A"/>
    <w:rsid w:val="0068795F"/>
    <w:rsid w:val="006949E1"/>
    <w:rsid w:val="006A6AE7"/>
    <w:rsid w:val="006A6EA5"/>
    <w:rsid w:val="006B0602"/>
    <w:rsid w:val="006B5008"/>
    <w:rsid w:val="006C1F0D"/>
    <w:rsid w:val="006C292F"/>
    <w:rsid w:val="006C2C11"/>
    <w:rsid w:val="006C4BA4"/>
    <w:rsid w:val="006D7BC9"/>
    <w:rsid w:val="006E090B"/>
    <w:rsid w:val="006E4AF6"/>
    <w:rsid w:val="006E707A"/>
    <w:rsid w:val="006F28E4"/>
    <w:rsid w:val="006F3191"/>
    <w:rsid w:val="006F4FCD"/>
    <w:rsid w:val="006F7F51"/>
    <w:rsid w:val="00700604"/>
    <w:rsid w:val="00707866"/>
    <w:rsid w:val="007119F7"/>
    <w:rsid w:val="00712641"/>
    <w:rsid w:val="00722D9D"/>
    <w:rsid w:val="0073066D"/>
    <w:rsid w:val="0074490B"/>
    <w:rsid w:val="007477ED"/>
    <w:rsid w:val="007551D0"/>
    <w:rsid w:val="0075607F"/>
    <w:rsid w:val="00760D90"/>
    <w:rsid w:val="00761599"/>
    <w:rsid w:val="00761B35"/>
    <w:rsid w:val="00764E33"/>
    <w:rsid w:val="00772CFB"/>
    <w:rsid w:val="007754CE"/>
    <w:rsid w:val="00775585"/>
    <w:rsid w:val="00784C28"/>
    <w:rsid w:val="00784CA4"/>
    <w:rsid w:val="00793D35"/>
    <w:rsid w:val="007A2DBA"/>
    <w:rsid w:val="007A7A87"/>
    <w:rsid w:val="007C639A"/>
    <w:rsid w:val="007C6D0F"/>
    <w:rsid w:val="007D7106"/>
    <w:rsid w:val="007E1029"/>
    <w:rsid w:val="007E140F"/>
    <w:rsid w:val="007E680D"/>
    <w:rsid w:val="007E6924"/>
    <w:rsid w:val="00801645"/>
    <w:rsid w:val="00810775"/>
    <w:rsid w:val="008126BC"/>
    <w:rsid w:val="00824A71"/>
    <w:rsid w:val="00826444"/>
    <w:rsid w:val="00827779"/>
    <w:rsid w:val="008345C2"/>
    <w:rsid w:val="008378CD"/>
    <w:rsid w:val="00840626"/>
    <w:rsid w:val="008441A0"/>
    <w:rsid w:val="008506C0"/>
    <w:rsid w:val="008521E0"/>
    <w:rsid w:val="00857C94"/>
    <w:rsid w:val="00860AB4"/>
    <w:rsid w:val="00860F60"/>
    <w:rsid w:val="00863103"/>
    <w:rsid w:val="00865919"/>
    <w:rsid w:val="008729B2"/>
    <w:rsid w:val="00882CCD"/>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0334"/>
    <w:rsid w:val="00900B68"/>
    <w:rsid w:val="009023D0"/>
    <w:rsid w:val="0090631B"/>
    <w:rsid w:val="009152BF"/>
    <w:rsid w:val="00915384"/>
    <w:rsid w:val="009205D0"/>
    <w:rsid w:val="00927EC5"/>
    <w:rsid w:val="00935E85"/>
    <w:rsid w:val="0094055F"/>
    <w:rsid w:val="009418FD"/>
    <w:rsid w:val="00944FCD"/>
    <w:rsid w:val="00945209"/>
    <w:rsid w:val="00947131"/>
    <w:rsid w:val="00952934"/>
    <w:rsid w:val="0096018B"/>
    <w:rsid w:val="00962D63"/>
    <w:rsid w:val="0096618F"/>
    <w:rsid w:val="009679A4"/>
    <w:rsid w:val="00975783"/>
    <w:rsid w:val="0097788F"/>
    <w:rsid w:val="00995136"/>
    <w:rsid w:val="00996712"/>
    <w:rsid w:val="009B7090"/>
    <w:rsid w:val="009C05A5"/>
    <w:rsid w:val="009C1A83"/>
    <w:rsid w:val="009C4236"/>
    <w:rsid w:val="009C42F5"/>
    <w:rsid w:val="009C434B"/>
    <w:rsid w:val="009C74A9"/>
    <w:rsid w:val="009D3B65"/>
    <w:rsid w:val="009E45AF"/>
    <w:rsid w:val="009E5D8B"/>
    <w:rsid w:val="009F2EBF"/>
    <w:rsid w:val="009F308F"/>
    <w:rsid w:val="009F3423"/>
    <w:rsid w:val="009F4A3F"/>
    <w:rsid w:val="009F57B9"/>
    <w:rsid w:val="009F7BB6"/>
    <w:rsid w:val="00A05E06"/>
    <w:rsid w:val="00A3620B"/>
    <w:rsid w:val="00A3721F"/>
    <w:rsid w:val="00A55504"/>
    <w:rsid w:val="00A641E8"/>
    <w:rsid w:val="00A73BC5"/>
    <w:rsid w:val="00A81C89"/>
    <w:rsid w:val="00A83361"/>
    <w:rsid w:val="00A9605A"/>
    <w:rsid w:val="00A96A91"/>
    <w:rsid w:val="00AA5B7F"/>
    <w:rsid w:val="00AB505D"/>
    <w:rsid w:val="00AD6A2A"/>
    <w:rsid w:val="00AE63D9"/>
    <w:rsid w:val="00AE7700"/>
    <w:rsid w:val="00AF5B00"/>
    <w:rsid w:val="00AF60CE"/>
    <w:rsid w:val="00B0360E"/>
    <w:rsid w:val="00B15C39"/>
    <w:rsid w:val="00B30C7F"/>
    <w:rsid w:val="00B32C08"/>
    <w:rsid w:val="00B3313B"/>
    <w:rsid w:val="00B372EF"/>
    <w:rsid w:val="00B44D50"/>
    <w:rsid w:val="00B44F94"/>
    <w:rsid w:val="00B63276"/>
    <w:rsid w:val="00B637F5"/>
    <w:rsid w:val="00B650B3"/>
    <w:rsid w:val="00B70033"/>
    <w:rsid w:val="00B721C5"/>
    <w:rsid w:val="00B83239"/>
    <w:rsid w:val="00B85815"/>
    <w:rsid w:val="00B864C7"/>
    <w:rsid w:val="00B87818"/>
    <w:rsid w:val="00B93FC4"/>
    <w:rsid w:val="00BA21A1"/>
    <w:rsid w:val="00BA491F"/>
    <w:rsid w:val="00BB080D"/>
    <w:rsid w:val="00BC32AB"/>
    <w:rsid w:val="00BC427D"/>
    <w:rsid w:val="00BC58E0"/>
    <w:rsid w:val="00BD2E6A"/>
    <w:rsid w:val="00BE20C1"/>
    <w:rsid w:val="00BF78E7"/>
    <w:rsid w:val="00C002DD"/>
    <w:rsid w:val="00C034BF"/>
    <w:rsid w:val="00C0453A"/>
    <w:rsid w:val="00C079AC"/>
    <w:rsid w:val="00C15773"/>
    <w:rsid w:val="00C17A53"/>
    <w:rsid w:val="00C21E82"/>
    <w:rsid w:val="00C22D23"/>
    <w:rsid w:val="00C23EB0"/>
    <w:rsid w:val="00C259C0"/>
    <w:rsid w:val="00C33023"/>
    <w:rsid w:val="00C35556"/>
    <w:rsid w:val="00C41567"/>
    <w:rsid w:val="00C5198C"/>
    <w:rsid w:val="00C61AC5"/>
    <w:rsid w:val="00C6249B"/>
    <w:rsid w:val="00C64D82"/>
    <w:rsid w:val="00C7344A"/>
    <w:rsid w:val="00C75661"/>
    <w:rsid w:val="00C80B1D"/>
    <w:rsid w:val="00C833BC"/>
    <w:rsid w:val="00C8763B"/>
    <w:rsid w:val="00C9380E"/>
    <w:rsid w:val="00C9550B"/>
    <w:rsid w:val="00C96E84"/>
    <w:rsid w:val="00CA1A54"/>
    <w:rsid w:val="00CB2C97"/>
    <w:rsid w:val="00CC3376"/>
    <w:rsid w:val="00CC7D58"/>
    <w:rsid w:val="00CD3A17"/>
    <w:rsid w:val="00CD5ED1"/>
    <w:rsid w:val="00CE00E3"/>
    <w:rsid w:val="00CF2002"/>
    <w:rsid w:val="00D153B9"/>
    <w:rsid w:val="00D164C7"/>
    <w:rsid w:val="00D2235E"/>
    <w:rsid w:val="00D22B9E"/>
    <w:rsid w:val="00D24FC0"/>
    <w:rsid w:val="00D404BB"/>
    <w:rsid w:val="00D41CEE"/>
    <w:rsid w:val="00D41F34"/>
    <w:rsid w:val="00D447D9"/>
    <w:rsid w:val="00D4751B"/>
    <w:rsid w:val="00D5148E"/>
    <w:rsid w:val="00D63855"/>
    <w:rsid w:val="00D76592"/>
    <w:rsid w:val="00D86962"/>
    <w:rsid w:val="00D92F7C"/>
    <w:rsid w:val="00D94CF9"/>
    <w:rsid w:val="00DA2292"/>
    <w:rsid w:val="00DA2A55"/>
    <w:rsid w:val="00DA40A7"/>
    <w:rsid w:val="00DA4139"/>
    <w:rsid w:val="00DA6F9C"/>
    <w:rsid w:val="00DA71E3"/>
    <w:rsid w:val="00DB5D84"/>
    <w:rsid w:val="00DB6143"/>
    <w:rsid w:val="00DC33F0"/>
    <w:rsid w:val="00DC4E5B"/>
    <w:rsid w:val="00DD0143"/>
    <w:rsid w:val="00DD1F27"/>
    <w:rsid w:val="00DD6136"/>
    <w:rsid w:val="00DD78FE"/>
    <w:rsid w:val="00DE359D"/>
    <w:rsid w:val="00DE3FB0"/>
    <w:rsid w:val="00DE6BEC"/>
    <w:rsid w:val="00DF07A9"/>
    <w:rsid w:val="00DF4E1D"/>
    <w:rsid w:val="00DF63BA"/>
    <w:rsid w:val="00E00AF5"/>
    <w:rsid w:val="00E02113"/>
    <w:rsid w:val="00E0480F"/>
    <w:rsid w:val="00E13F5A"/>
    <w:rsid w:val="00E15355"/>
    <w:rsid w:val="00E17101"/>
    <w:rsid w:val="00E21466"/>
    <w:rsid w:val="00E21BA1"/>
    <w:rsid w:val="00E27FB8"/>
    <w:rsid w:val="00E37077"/>
    <w:rsid w:val="00E45F25"/>
    <w:rsid w:val="00E473E2"/>
    <w:rsid w:val="00E47D85"/>
    <w:rsid w:val="00E54619"/>
    <w:rsid w:val="00E61FE4"/>
    <w:rsid w:val="00E66AFD"/>
    <w:rsid w:val="00E7093E"/>
    <w:rsid w:val="00E72374"/>
    <w:rsid w:val="00E72671"/>
    <w:rsid w:val="00E810DC"/>
    <w:rsid w:val="00E91EF8"/>
    <w:rsid w:val="00E9328E"/>
    <w:rsid w:val="00E96170"/>
    <w:rsid w:val="00EA39F7"/>
    <w:rsid w:val="00EB01B6"/>
    <w:rsid w:val="00EB57E0"/>
    <w:rsid w:val="00EC3370"/>
    <w:rsid w:val="00ED3609"/>
    <w:rsid w:val="00EE5F05"/>
    <w:rsid w:val="00EE7FE0"/>
    <w:rsid w:val="00EF7E87"/>
    <w:rsid w:val="00F00675"/>
    <w:rsid w:val="00F00E2F"/>
    <w:rsid w:val="00F0215D"/>
    <w:rsid w:val="00F11F1B"/>
    <w:rsid w:val="00F169CD"/>
    <w:rsid w:val="00F20FAD"/>
    <w:rsid w:val="00F24176"/>
    <w:rsid w:val="00F27163"/>
    <w:rsid w:val="00F27B28"/>
    <w:rsid w:val="00F27FCB"/>
    <w:rsid w:val="00F32422"/>
    <w:rsid w:val="00F33092"/>
    <w:rsid w:val="00F337E4"/>
    <w:rsid w:val="00F367B0"/>
    <w:rsid w:val="00F46FAF"/>
    <w:rsid w:val="00F47F53"/>
    <w:rsid w:val="00F52460"/>
    <w:rsid w:val="00F54461"/>
    <w:rsid w:val="00F636FC"/>
    <w:rsid w:val="00F740AF"/>
    <w:rsid w:val="00F744C4"/>
    <w:rsid w:val="00F74C2B"/>
    <w:rsid w:val="00F96BBE"/>
    <w:rsid w:val="00F978E2"/>
    <w:rsid w:val="00FA0E55"/>
    <w:rsid w:val="00FA38CC"/>
    <w:rsid w:val="00FB71E6"/>
    <w:rsid w:val="00FC3F77"/>
    <w:rsid w:val="00FC5B25"/>
    <w:rsid w:val="00FC64B0"/>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I\Desktop\&#26399;&#26435;&#21608;&#25253;\&#35910;&#31893;&#21608;&#25253;\&#26085;&#25104;&#20132;&#32479;&#35745;201809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YI\Desktop\&#26399;&#26435;&#21608;&#25253;\&#30333;&#31958;&#21608;&#25253;\&#26085;&#25104;&#20132;&#32479;&#35745;201809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PCR&#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万得!$A$2:$A$366</c:f>
              <c:numCache>
                <c:formatCode>yyyy\-mm\-dd</c:formatCode>
                <c:ptCount val="36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pt idx="355">
                  <c:v>43353</c:v>
                </c:pt>
                <c:pt idx="356">
                  <c:v>43354</c:v>
                </c:pt>
                <c:pt idx="357">
                  <c:v>43355</c:v>
                </c:pt>
                <c:pt idx="358">
                  <c:v>43356</c:v>
                </c:pt>
                <c:pt idx="359">
                  <c:v>43357</c:v>
                </c:pt>
                <c:pt idx="360">
                  <c:v>43360</c:v>
                </c:pt>
                <c:pt idx="361">
                  <c:v>43361</c:v>
                </c:pt>
                <c:pt idx="362">
                  <c:v>43362</c:v>
                </c:pt>
                <c:pt idx="363">
                  <c:v>43363</c:v>
                </c:pt>
                <c:pt idx="364">
                  <c:v>43364</c:v>
                </c:pt>
              </c:numCache>
            </c:numRef>
          </c:cat>
          <c:val>
            <c:numRef>
              <c:f>万得!$H$2:$H$366</c:f>
              <c:numCache>
                <c:formatCode>#,##0</c:formatCode>
                <c:ptCount val="365"/>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pt idx="325">
                  <c:v>557538</c:v>
                </c:pt>
                <c:pt idx="326">
                  <c:v>555282</c:v>
                </c:pt>
                <c:pt idx="327">
                  <c:v>560604</c:v>
                </c:pt>
                <c:pt idx="328">
                  <c:v>567458</c:v>
                </c:pt>
                <c:pt idx="329">
                  <c:v>557134</c:v>
                </c:pt>
                <c:pt idx="330">
                  <c:v>552676</c:v>
                </c:pt>
                <c:pt idx="331">
                  <c:v>261812</c:v>
                </c:pt>
                <c:pt idx="332">
                  <c:v>278650</c:v>
                </c:pt>
                <c:pt idx="333">
                  <c:v>304598</c:v>
                </c:pt>
                <c:pt idx="334">
                  <c:v>315510</c:v>
                </c:pt>
                <c:pt idx="335">
                  <c:v>322540</c:v>
                </c:pt>
                <c:pt idx="336">
                  <c:v>326704</c:v>
                </c:pt>
                <c:pt idx="337">
                  <c:v>332686</c:v>
                </c:pt>
                <c:pt idx="338">
                  <c:v>333180</c:v>
                </c:pt>
                <c:pt idx="339">
                  <c:v>339756</c:v>
                </c:pt>
                <c:pt idx="340">
                  <c:v>344378</c:v>
                </c:pt>
                <c:pt idx="341">
                  <c:v>354108</c:v>
                </c:pt>
                <c:pt idx="342">
                  <c:v>358304</c:v>
                </c:pt>
                <c:pt idx="343">
                  <c:v>382846</c:v>
                </c:pt>
                <c:pt idx="344">
                  <c:v>384440</c:v>
                </c:pt>
                <c:pt idx="345">
                  <c:v>417214</c:v>
                </c:pt>
                <c:pt idx="346">
                  <c:v>427016</c:v>
                </c:pt>
                <c:pt idx="347">
                  <c:v>436584</c:v>
                </c:pt>
                <c:pt idx="348">
                  <c:v>437706</c:v>
                </c:pt>
                <c:pt idx="349">
                  <c:v>444638</c:v>
                </c:pt>
                <c:pt idx="350">
                  <c:v>442216</c:v>
                </c:pt>
                <c:pt idx="351">
                  <c:v>443174</c:v>
                </c:pt>
                <c:pt idx="352">
                  <c:v>447208</c:v>
                </c:pt>
                <c:pt idx="353">
                  <c:v>452482</c:v>
                </c:pt>
                <c:pt idx="354">
                  <c:v>454828</c:v>
                </c:pt>
                <c:pt idx="355">
                  <c:v>471676</c:v>
                </c:pt>
                <c:pt idx="356">
                  <c:v>473096</c:v>
                </c:pt>
                <c:pt idx="357">
                  <c:v>482368</c:v>
                </c:pt>
                <c:pt idx="358">
                  <c:v>489966</c:v>
                </c:pt>
                <c:pt idx="359">
                  <c:v>488936</c:v>
                </c:pt>
                <c:pt idx="360">
                  <c:v>481872</c:v>
                </c:pt>
                <c:pt idx="361">
                  <c:v>483518</c:v>
                </c:pt>
                <c:pt idx="362">
                  <c:v>485172</c:v>
                </c:pt>
                <c:pt idx="363">
                  <c:v>491990</c:v>
                </c:pt>
                <c:pt idx="364">
                  <c:v>503290</c:v>
                </c:pt>
              </c:numCache>
            </c:numRef>
          </c:val>
        </c:ser>
        <c:dLbls>
          <c:showLegendKey val="0"/>
          <c:showVal val="0"/>
          <c:showCatName val="0"/>
          <c:showSerName val="0"/>
          <c:showPercent val="0"/>
          <c:showBubbleSize val="0"/>
        </c:dLbls>
        <c:gapWidth val="150"/>
        <c:axId val="52289920"/>
        <c:axId val="52291456"/>
      </c:barChart>
      <c:lineChart>
        <c:grouping val="standard"/>
        <c:varyColors val="0"/>
        <c:ser>
          <c:idx val="0"/>
          <c:order val="0"/>
          <c:tx>
            <c:strRef>
              <c:f>万得!$C$1</c:f>
              <c:strCache>
                <c:ptCount val="1"/>
                <c:pt idx="0">
                  <c:v>日成交量(张)(右）</c:v>
                </c:pt>
              </c:strCache>
            </c:strRef>
          </c:tx>
          <c:marker>
            <c:symbol val="none"/>
          </c:marker>
          <c:cat>
            <c:numRef>
              <c:f>万得!$A$2:$A$366</c:f>
              <c:numCache>
                <c:formatCode>yyyy\-mm\-dd</c:formatCode>
                <c:ptCount val="36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pt idx="355">
                  <c:v>43353</c:v>
                </c:pt>
                <c:pt idx="356">
                  <c:v>43354</c:v>
                </c:pt>
                <c:pt idx="357">
                  <c:v>43355</c:v>
                </c:pt>
                <c:pt idx="358">
                  <c:v>43356</c:v>
                </c:pt>
                <c:pt idx="359">
                  <c:v>43357</c:v>
                </c:pt>
                <c:pt idx="360">
                  <c:v>43360</c:v>
                </c:pt>
                <c:pt idx="361">
                  <c:v>43361</c:v>
                </c:pt>
                <c:pt idx="362">
                  <c:v>43362</c:v>
                </c:pt>
                <c:pt idx="363">
                  <c:v>43363</c:v>
                </c:pt>
                <c:pt idx="364">
                  <c:v>43364</c:v>
                </c:pt>
              </c:numCache>
            </c:numRef>
          </c:cat>
          <c:val>
            <c:numRef>
              <c:f>万得!$C$2:$C$366</c:f>
              <c:numCache>
                <c:formatCode>#,##0</c:formatCode>
                <c:ptCount val="365"/>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pt idx="325">
                  <c:v>113962</c:v>
                </c:pt>
                <c:pt idx="326">
                  <c:v>146340</c:v>
                </c:pt>
                <c:pt idx="327">
                  <c:v>222850</c:v>
                </c:pt>
                <c:pt idx="328">
                  <c:v>74806</c:v>
                </c:pt>
                <c:pt idx="329">
                  <c:v>147584</c:v>
                </c:pt>
                <c:pt idx="330">
                  <c:v>86752</c:v>
                </c:pt>
                <c:pt idx="331">
                  <c:v>115882</c:v>
                </c:pt>
                <c:pt idx="332">
                  <c:v>110376</c:v>
                </c:pt>
                <c:pt idx="333">
                  <c:v>116100</c:v>
                </c:pt>
                <c:pt idx="334">
                  <c:v>56794</c:v>
                </c:pt>
                <c:pt idx="335">
                  <c:v>65698</c:v>
                </c:pt>
                <c:pt idx="336">
                  <c:v>55350</c:v>
                </c:pt>
                <c:pt idx="337">
                  <c:v>57970</c:v>
                </c:pt>
                <c:pt idx="338">
                  <c:v>105216</c:v>
                </c:pt>
                <c:pt idx="339">
                  <c:v>49994</c:v>
                </c:pt>
                <c:pt idx="340">
                  <c:v>91294</c:v>
                </c:pt>
                <c:pt idx="341">
                  <c:v>49906</c:v>
                </c:pt>
                <c:pt idx="342">
                  <c:v>71826</c:v>
                </c:pt>
                <c:pt idx="343">
                  <c:v>129986</c:v>
                </c:pt>
                <c:pt idx="344">
                  <c:v>72934</c:v>
                </c:pt>
                <c:pt idx="345">
                  <c:v>197858</c:v>
                </c:pt>
                <c:pt idx="346">
                  <c:v>107860</c:v>
                </c:pt>
                <c:pt idx="347">
                  <c:v>73864</c:v>
                </c:pt>
                <c:pt idx="348">
                  <c:v>77300</c:v>
                </c:pt>
                <c:pt idx="349">
                  <c:v>75272</c:v>
                </c:pt>
                <c:pt idx="350">
                  <c:v>71084</c:v>
                </c:pt>
                <c:pt idx="351">
                  <c:v>56860</c:v>
                </c:pt>
                <c:pt idx="352">
                  <c:v>50100</c:v>
                </c:pt>
                <c:pt idx="353">
                  <c:v>59378</c:v>
                </c:pt>
                <c:pt idx="354">
                  <c:v>42764</c:v>
                </c:pt>
                <c:pt idx="355">
                  <c:v>196800</c:v>
                </c:pt>
                <c:pt idx="356">
                  <c:v>60874</c:v>
                </c:pt>
                <c:pt idx="357">
                  <c:v>82692</c:v>
                </c:pt>
                <c:pt idx="358">
                  <c:v>137820</c:v>
                </c:pt>
                <c:pt idx="359">
                  <c:v>51858</c:v>
                </c:pt>
                <c:pt idx="360">
                  <c:v>86304</c:v>
                </c:pt>
                <c:pt idx="361">
                  <c:v>120240</c:v>
                </c:pt>
                <c:pt idx="362">
                  <c:v>51944</c:v>
                </c:pt>
                <c:pt idx="363">
                  <c:v>145962</c:v>
                </c:pt>
                <c:pt idx="364">
                  <c:v>88022</c:v>
                </c:pt>
              </c:numCache>
            </c:numRef>
          </c:val>
          <c:smooth val="0"/>
        </c:ser>
        <c:dLbls>
          <c:showLegendKey val="0"/>
          <c:showVal val="0"/>
          <c:showCatName val="0"/>
          <c:showSerName val="0"/>
          <c:showPercent val="0"/>
          <c:showBubbleSize val="0"/>
        </c:dLbls>
        <c:marker val="1"/>
        <c:smooth val="0"/>
        <c:axId val="153498752"/>
        <c:axId val="52292992"/>
      </c:lineChart>
      <c:catAx>
        <c:axId val="52289920"/>
        <c:scaling>
          <c:orientation val="minMax"/>
        </c:scaling>
        <c:delete val="0"/>
        <c:axPos val="b"/>
        <c:numFmt formatCode="yyyy\-mm\-dd" sourceLinked="1"/>
        <c:majorTickMark val="out"/>
        <c:minorTickMark val="none"/>
        <c:tickLblPos val="nextTo"/>
        <c:crossAx val="52291456"/>
        <c:crosses val="autoZero"/>
        <c:auto val="0"/>
        <c:lblAlgn val="ctr"/>
        <c:lblOffset val="100"/>
        <c:tickLblSkip val="7"/>
        <c:noMultiLvlLbl val="0"/>
      </c:catAx>
      <c:valAx>
        <c:axId val="52291456"/>
        <c:scaling>
          <c:orientation val="minMax"/>
        </c:scaling>
        <c:delete val="0"/>
        <c:axPos val="l"/>
        <c:majorGridlines/>
        <c:numFmt formatCode="#,##0" sourceLinked="1"/>
        <c:majorTickMark val="out"/>
        <c:minorTickMark val="none"/>
        <c:tickLblPos val="nextTo"/>
        <c:crossAx val="52289920"/>
        <c:crosses val="autoZero"/>
        <c:crossBetween val="between"/>
      </c:valAx>
      <c:valAx>
        <c:axId val="52292992"/>
        <c:scaling>
          <c:orientation val="minMax"/>
        </c:scaling>
        <c:delete val="0"/>
        <c:axPos val="r"/>
        <c:numFmt formatCode="#,##0" sourceLinked="1"/>
        <c:majorTickMark val="out"/>
        <c:minorTickMark val="none"/>
        <c:tickLblPos val="nextTo"/>
        <c:crossAx val="153498752"/>
        <c:crosses val="max"/>
        <c:crossBetween val="between"/>
      </c:valAx>
      <c:dateAx>
        <c:axId val="153498752"/>
        <c:scaling>
          <c:orientation val="minMax"/>
        </c:scaling>
        <c:delete val="1"/>
        <c:axPos val="b"/>
        <c:numFmt formatCode="yyyy\-mm\-dd" sourceLinked="1"/>
        <c:majorTickMark val="out"/>
        <c:minorTickMark val="none"/>
        <c:tickLblPos val="nextTo"/>
        <c:crossAx val="52292992"/>
        <c:crosses val="autoZero"/>
        <c:auto val="1"/>
        <c:lblOffset val="100"/>
        <c:baseTimeUnit val="days"/>
      </c:dateAx>
    </c:plotArea>
    <c:legend>
      <c:legendPos val="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波动率锥!$C$921:$U$921</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波动率锥!$C$923:$U$923</c:f>
              <c:numCache>
                <c:formatCode>General</c:formatCode>
                <c:ptCount val="19"/>
                <c:pt idx="0">
                  <c:v>0.15889471213292217</c:v>
                </c:pt>
                <c:pt idx="1">
                  <c:v>0.161830788595831</c:v>
                </c:pt>
                <c:pt idx="2">
                  <c:v>0.16148785375309013</c:v>
                </c:pt>
                <c:pt idx="3">
                  <c:v>0.16353683286682896</c:v>
                </c:pt>
                <c:pt idx="4">
                  <c:v>0.17132581147477016</c:v>
                </c:pt>
                <c:pt idx="5">
                  <c:v>0.16924496893153668</c:v>
                </c:pt>
                <c:pt idx="6">
                  <c:v>0.1666878926695182</c:v>
                </c:pt>
                <c:pt idx="7">
                  <c:v>0.16472521869267498</c:v>
                </c:pt>
                <c:pt idx="8">
                  <c:v>0.16265417855882044</c:v>
                </c:pt>
                <c:pt idx="9">
                  <c:v>0.15914143458099739</c:v>
                </c:pt>
                <c:pt idx="10">
                  <c:v>0.15666009847045761</c:v>
                </c:pt>
                <c:pt idx="11">
                  <c:v>0.15449150502401282</c:v>
                </c:pt>
                <c:pt idx="12">
                  <c:v>0.15363032432960441</c:v>
                </c:pt>
                <c:pt idx="13">
                  <c:v>0.15431811161190695</c:v>
                </c:pt>
                <c:pt idx="14">
                  <c:v>0.15622068880384904</c:v>
                </c:pt>
                <c:pt idx="15">
                  <c:v>0.1578485531587922</c:v>
                </c:pt>
                <c:pt idx="16">
                  <c:v>0.15969762988679956</c:v>
                </c:pt>
                <c:pt idx="17">
                  <c:v>0.15768956677611157</c:v>
                </c:pt>
                <c:pt idx="18">
                  <c:v>0.15592392324671092</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波动率锥!$C$924:$U$924</c:f>
              <c:numCache>
                <c:formatCode>General</c:formatCode>
                <c:ptCount val="19"/>
                <c:pt idx="0">
                  <c:v>0.11472581284219922</c:v>
                </c:pt>
                <c:pt idx="1">
                  <c:v>0.12790710217954843</c:v>
                </c:pt>
                <c:pt idx="2">
                  <c:v>0.13070095928249423</c:v>
                </c:pt>
                <c:pt idx="3">
                  <c:v>0.13318487953546537</c:v>
                </c:pt>
                <c:pt idx="4">
                  <c:v>0.13307497041893879</c:v>
                </c:pt>
                <c:pt idx="5">
                  <c:v>0.13498049787162772</c:v>
                </c:pt>
                <c:pt idx="6">
                  <c:v>0.13691350636829061</c:v>
                </c:pt>
                <c:pt idx="7">
                  <c:v>0.13717144883354504</c:v>
                </c:pt>
                <c:pt idx="8">
                  <c:v>0.13820921301699049</c:v>
                </c:pt>
                <c:pt idx="9">
                  <c:v>0.13713160086944329</c:v>
                </c:pt>
                <c:pt idx="10">
                  <c:v>0.13794731578048267</c:v>
                </c:pt>
                <c:pt idx="11">
                  <c:v>0.13837568844342613</c:v>
                </c:pt>
                <c:pt idx="12">
                  <c:v>0.13755406484049498</c:v>
                </c:pt>
                <c:pt idx="13">
                  <c:v>0.13731679990488588</c:v>
                </c:pt>
                <c:pt idx="14">
                  <c:v>0.13759329986745611</c:v>
                </c:pt>
                <c:pt idx="15">
                  <c:v>0.1372288906271551</c:v>
                </c:pt>
                <c:pt idx="16">
                  <c:v>0.13690399104748724</c:v>
                </c:pt>
                <c:pt idx="17">
                  <c:v>0.13579630803722278</c:v>
                </c:pt>
                <c:pt idx="18">
                  <c:v>0.13620365295934631</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波动率锥!$C$925:$U$925</c:f>
              <c:numCache>
                <c:formatCode>General</c:formatCode>
                <c:ptCount val="19"/>
                <c:pt idx="0">
                  <c:v>8.5454577247404351E-2</c:v>
                </c:pt>
                <c:pt idx="1">
                  <c:v>9.8413765514475518E-2</c:v>
                </c:pt>
                <c:pt idx="2">
                  <c:v>0.1092835275688796</c:v>
                </c:pt>
                <c:pt idx="3">
                  <c:v>0.11262059587579856</c:v>
                </c:pt>
                <c:pt idx="4">
                  <c:v>0.11539751011949692</c:v>
                </c:pt>
                <c:pt idx="5">
                  <c:v>0.11575408462452057</c:v>
                </c:pt>
                <c:pt idx="6">
                  <c:v>0.11563806515334901</c:v>
                </c:pt>
                <c:pt idx="7">
                  <c:v>0.11895392868784475</c:v>
                </c:pt>
                <c:pt idx="8">
                  <c:v>0.11960811572132213</c:v>
                </c:pt>
                <c:pt idx="9">
                  <c:v>0.11852938752690718</c:v>
                </c:pt>
                <c:pt idx="10">
                  <c:v>0.12083721663728554</c:v>
                </c:pt>
                <c:pt idx="11">
                  <c:v>0.12254752433405261</c:v>
                </c:pt>
                <c:pt idx="12">
                  <c:v>0.12212998333134167</c:v>
                </c:pt>
                <c:pt idx="13">
                  <c:v>0.12156072572255214</c:v>
                </c:pt>
                <c:pt idx="14">
                  <c:v>0.12241225197514402</c:v>
                </c:pt>
                <c:pt idx="15">
                  <c:v>0.12244463952661881</c:v>
                </c:pt>
                <c:pt idx="16">
                  <c:v>0.12243376556793339</c:v>
                </c:pt>
                <c:pt idx="17">
                  <c:v>0.12266356756242945</c:v>
                </c:pt>
                <c:pt idx="18">
                  <c:v>0.12277773346162887</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波动率锥!$C$927:$U$927</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波动率锥!$C$916:$U$916</c:f>
              <c:numCache>
                <c:formatCode>###,###,##0.0000</c:formatCode>
                <c:ptCount val="19"/>
                <c:pt idx="0">
                  <c:v>0.13522192783110451</c:v>
                </c:pt>
                <c:pt idx="1">
                  <c:v>0.13187376934290093</c:v>
                </c:pt>
                <c:pt idx="2" formatCode="General">
                  <c:v>0.14106534808592366</c:v>
                </c:pt>
                <c:pt idx="3" formatCode="General">
                  <c:v>0.141169969600101</c:v>
                </c:pt>
                <c:pt idx="4" formatCode="General">
                  <c:v>0.16355633747472523</c:v>
                </c:pt>
                <c:pt idx="5" formatCode="General">
                  <c:v>0.16724860092524838</c:v>
                </c:pt>
                <c:pt idx="6" formatCode="General">
                  <c:v>0.16846670004088823</c:v>
                </c:pt>
                <c:pt idx="7" formatCode="General">
                  <c:v>0.16287135079376192</c:v>
                </c:pt>
                <c:pt idx="8" formatCode="General">
                  <c:v>0.16613318058946608</c:v>
                </c:pt>
                <c:pt idx="9" formatCode="General">
                  <c:v>0.15963953392712796</c:v>
                </c:pt>
                <c:pt idx="10" formatCode="General">
                  <c:v>0.15386542130990843</c:v>
                </c:pt>
                <c:pt idx="11" formatCode="General">
                  <c:v>0.14917940279614106</c:v>
                </c:pt>
                <c:pt idx="12" formatCode="General">
                  <c:v>0.14616919738184214</c:v>
                </c:pt>
                <c:pt idx="13" formatCode="General">
                  <c:v>0.14173382817216446</c:v>
                </c:pt>
                <c:pt idx="14" formatCode="General">
                  <c:v>0.13803214804501604</c:v>
                </c:pt>
                <c:pt idx="15" formatCode="General">
                  <c:v>0.13616886974969811</c:v>
                </c:pt>
                <c:pt idx="16" formatCode="General">
                  <c:v>0.13278391895020533</c:v>
                </c:pt>
                <c:pt idx="17" formatCode="General">
                  <c:v>0.12991423222525972</c:v>
                </c:pt>
                <c:pt idx="18" formatCode="General">
                  <c:v>0.12694020904809439</c:v>
                </c:pt>
              </c:numCache>
            </c:numRef>
          </c:val>
          <c:smooth val="0"/>
        </c:ser>
        <c:dLbls>
          <c:showLegendKey val="0"/>
          <c:showVal val="0"/>
          <c:showCatName val="0"/>
          <c:showSerName val="0"/>
          <c:showPercent val="0"/>
          <c:showBubbleSize val="0"/>
        </c:dLbls>
        <c:marker val="1"/>
        <c:smooth val="0"/>
        <c:axId val="278929792"/>
        <c:axId val="278931328"/>
      </c:lineChart>
      <c:catAx>
        <c:axId val="278929792"/>
        <c:scaling>
          <c:orientation val="minMax"/>
        </c:scaling>
        <c:delete val="0"/>
        <c:axPos val="b"/>
        <c:numFmt formatCode="General" sourceLinked="1"/>
        <c:majorTickMark val="out"/>
        <c:minorTickMark val="none"/>
        <c:tickLblPos val="nextTo"/>
        <c:crossAx val="278931328"/>
        <c:crosses val="autoZero"/>
        <c:auto val="1"/>
        <c:lblAlgn val="ctr"/>
        <c:lblOffset val="100"/>
        <c:noMultiLvlLbl val="0"/>
      </c:catAx>
      <c:valAx>
        <c:axId val="278931328"/>
        <c:scaling>
          <c:orientation val="minMax"/>
        </c:scaling>
        <c:delete val="0"/>
        <c:axPos val="l"/>
        <c:majorGridlines/>
        <c:numFmt formatCode="General" sourceLinked="1"/>
        <c:majorTickMark val="out"/>
        <c:minorTickMark val="none"/>
        <c:tickLblPos val="nextTo"/>
        <c:crossAx val="278929792"/>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本周看涨</c:v>
          </c:tx>
          <c:marker>
            <c:symbol val="none"/>
          </c:marker>
          <c:cat>
            <c:numRef>
              <c:f>期限结构!$B$1:$F$1</c:f>
              <c:numCache>
                <c:formatCode>General</c:formatCode>
                <c:ptCount val="5"/>
                <c:pt idx="0">
                  <c:v>1901</c:v>
                </c:pt>
                <c:pt idx="1">
                  <c:v>1903</c:v>
                </c:pt>
                <c:pt idx="2">
                  <c:v>1905</c:v>
                </c:pt>
                <c:pt idx="3">
                  <c:v>1907</c:v>
                </c:pt>
                <c:pt idx="4">
                  <c:v>1909</c:v>
                </c:pt>
              </c:numCache>
            </c:numRef>
          </c:cat>
          <c:val>
            <c:numRef>
              <c:f>期限结构!$B$3:$F$3</c:f>
              <c:numCache>
                <c:formatCode>General</c:formatCode>
                <c:ptCount val="5"/>
                <c:pt idx="0">
                  <c:v>0.1738051463750005</c:v>
                </c:pt>
                <c:pt idx="1">
                  <c:v>0.1533899658275768</c:v>
                </c:pt>
                <c:pt idx="2">
                  <c:v>0.15821001748763025</c:v>
                </c:pt>
                <c:pt idx="3">
                  <c:v>0.14644647420369089</c:v>
                </c:pt>
                <c:pt idx="4">
                  <c:v>0.13606009279437364</c:v>
                </c:pt>
              </c:numCache>
            </c:numRef>
          </c:val>
          <c:smooth val="0"/>
        </c:ser>
        <c:ser>
          <c:idx val="1"/>
          <c:order val="1"/>
          <c:tx>
            <c:v>本周看跌</c:v>
          </c:tx>
          <c:marker>
            <c:symbol val="none"/>
          </c:marker>
          <c:cat>
            <c:numRef>
              <c:f>期限结构!$B$1:$F$1</c:f>
              <c:numCache>
                <c:formatCode>General</c:formatCode>
                <c:ptCount val="5"/>
                <c:pt idx="0">
                  <c:v>1901</c:v>
                </c:pt>
                <c:pt idx="1">
                  <c:v>1903</c:v>
                </c:pt>
                <c:pt idx="2">
                  <c:v>1905</c:v>
                </c:pt>
                <c:pt idx="3">
                  <c:v>1907</c:v>
                </c:pt>
                <c:pt idx="4">
                  <c:v>1909</c:v>
                </c:pt>
              </c:numCache>
            </c:numRef>
          </c:cat>
          <c:val>
            <c:numRef>
              <c:f>期限结构!$B$5:$F$5</c:f>
              <c:numCache>
                <c:formatCode>General</c:formatCode>
                <c:ptCount val="5"/>
                <c:pt idx="0">
                  <c:v>0.1725478193391114</c:v>
                </c:pt>
                <c:pt idx="1">
                  <c:v>0.17048048210691658</c:v>
                </c:pt>
                <c:pt idx="2">
                  <c:v>0.1561219974954054</c:v>
                </c:pt>
                <c:pt idx="3">
                  <c:v>0.14649228025868535</c:v>
                </c:pt>
                <c:pt idx="4">
                  <c:v>0.13925002109978346</c:v>
                </c:pt>
              </c:numCache>
            </c:numRef>
          </c:val>
          <c:smooth val="0"/>
        </c:ser>
        <c:ser>
          <c:idx val="2"/>
          <c:order val="2"/>
          <c:tx>
            <c:v>上周看涨</c:v>
          </c:tx>
          <c:marker>
            <c:symbol val="none"/>
          </c:marker>
          <c:val>
            <c:numRef>
              <c:f>期限结构!$B$10:$F$10</c:f>
              <c:numCache>
                <c:formatCode>General</c:formatCode>
                <c:ptCount val="5"/>
                <c:pt idx="0">
                  <c:v>0.16475599182814354</c:v>
                </c:pt>
                <c:pt idx="1">
                  <c:v>0.15682209700152275</c:v>
                </c:pt>
                <c:pt idx="2">
                  <c:v>0.14921742760725321</c:v>
                </c:pt>
                <c:pt idx="3">
                  <c:v>0.13915437078520654</c:v>
                </c:pt>
                <c:pt idx="4">
                  <c:v>0.13600887763138864</c:v>
                </c:pt>
              </c:numCache>
            </c:numRef>
          </c:val>
          <c:smooth val="0"/>
        </c:ser>
        <c:ser>
          <c:idx val="3"/>
          <c:order val="3"/>
          <c:tx>
            <c:v>上周看跌</c:v>
          </c:tx>
          <c:marker>
            <c:symbol val="none"/>
          </c:marker>
          <c:val>
            <c:numRef>
              <c:f>期限结构!$B$12:$F$12</c:f>
              <c:numCache>
                <c:formatCode>General</c:formatCode>
                <c:ptCount val="5"/>
                <c:pt idx="0">
                  <c:v>0.16219000338438894</c:v>
                </c:pt>
                <c:pt idx="1">
                  <c:v>0.15501503770120439</c:v>
                </c:pt>
                <c:pt idx="2">
                  <c:v>0.14369004939597102</c:v>
                </c:pt>
                <c:pt idx="3">
                  <c:v>0.13914279261190443</c:v>
                </c:pt>
                <c:pt idx="4">
                  <c:v>0.13018134608056398</c:v>
                </c:pt>
              </c:numCache>
            </c:numRef>
          </c:val>
          <c:smooth val="0"/>
        </c:ser>
        <c:dLbls>
          <c:showLegendKey val="0"/>
          <c:showVal val="0"/>
          <c:showCatName val="0"/>
          <c:showSerName val="0"/>
          <c:showPercent val="0"/>
          <c:showBubbleSize val="0"/>
        </c:dLbls>
        <c:marker val="1"/>
        <c:smooth val="0"/>
        <c:axId val="279098880"/>
        <c:axId val="279100416"/>
      </c:lineChart>
      <c:catAx>
        <c:axId val="279098880"/>
        <c:scaling>
          <c:orientation val="minMax"/>
        </c:scaling>
        <c:delete val="0"/>
        <c:axPos val="b"/>
        <c:numFmt formatCode="General" sourceLinked="1"/>
        <c:majorTickMark val="out"/>
        <c:minorTickMark val="none"/>
        <c:tickLblPos val="nextTo"/>
        <c:crossAx val="279100416"/>
        <c:crosses val="autoZero"/>
        <c:auto val="1"/>
        <c:lblAlgn val="ctr"/>
        <c:lblOffset val="100"/>
        <c:noMultiLvlLbl val="0"/>
      </c:catAx>
      <c:valAx>
        <c:axId val="279100416"/>
        <c:scaling>
          <c:orientation val="minMax"/>
        </c:scaling>
        <c:delete val="0"/>
        <c:axPos val="l"/>
        <c:majorGridlines/>
        <c:numFmt formatCode="General" sourceLinked="1"/>
        <c:majorTickMark val="out"/>
        <c:minorTickMark val="none"/>
        <c:tickLblPos val="nextTo"/>
        <c:crossAx val="279098880"/>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layout>
        <c:manualLayout>
          <c:xMode val="edge"/>
          <c:yMode val="edge"/>
          <c:x val="0.1826736244815941"/>
          <c:y val="5.8434214106190673E-2"/>
        </c:manualLayout>
      </c:layout>
      <c:overlay val="0"/>
    </c:title>
    <c:autoTitleDeleted val="0"/>
    <c:plotArea>
      <c:layout>
        <c:manualLayout>
          <c:layoutTarget val="inner"/>
          <c:xMode val="edge"/>
          <c:yMode val="edge"/>
          <c:x val="6.7954659124607741E-2"/>
          <c:y val="0.25053879777191018"/>
          <c:w val="0.88760101446003903"/>
          <c:h val="0.59609720368144303"/>
        </c:manualLayout>
      </c:layout>
      <c:lineChart>
        <c:grouping val="standard"/>
        <c:varyColors val="0"/>
        <c:ser>
          <c:idx val="0"/>
          <c:order val="0"/>
          <c:tx>
            <c:v>上周看涨隐波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0">
                  <c:v>0.21836546740800139</c:v>
                </c:pt>
                <c:pt idx="1">
                  <c:v>0.19100193747028704</c:v>
                </c:pt>
                <c:pt idx="2">
                  <c:v>0.18651434478648005</c:v>
                </c:pt>
                <c:pt idx="3">
                  <c:v>0.17775334817439314</c:v>
                </c:pt>
                <c:pt idx="4">
                  <c:v>0.17723303072862323</c:v>
                </c:pt>
                <c:pt idx="5">
                  <c:v>0.16475599182814354</c:v>
                </c:pt>
                <c:pt idx="6">
                  <c:v>0.16324096475481986</c:v>
                </c:pt>
                <c:pt idx="7">
                  <c:v>0.16322183171167967</c:v>
                </c:pt>
                <c:pt idx="8">
                  <c:v>0.16261845540106296</c:v>
                </c:pt>
                <c:pt idx="9">
                  <c:v>0.16518752837747336</c:v>
                </c:pt>
                <c:pt idx="10">
                  <c:v>0.16758237741276621</c:v>
                </c:pt>
                <c:pt idx="11">
                  <c:v>0.16942302384644742</c:v>
                </c:pt>
                <c:pt idx="12">
                  <c:v>0.17307713706374167</c:v>
                </c:pt>
                <c:pt idx="13">
                  <c:v>0.18349206902652979</c:v>
                </c:pt>
                <c:pt idx="14">
                  <c:v>0.19077180451214309</c:v>
                </c:pt>
                <c:pt idx="15">
                  <c:v>0.1966695501589775</c:v>
                </c:pt>
                <c:pt idx="16">
                  <c:v>0.20608729890763758</c:v>
                </c:pt>
                <c:pt idx="17">
                  <c:v>0.21275418096780774</c:v>
                </c:pt>
                <c:pt idx="18">
                  <c:v>0.22703160346508025</c:v>
                </c:pt>
                <c:pt idx="19">
                  <c:v>0.22910154839396474</c:v>
                </c:pt>
                <c:pt idx="20">
                  <c:v>0.22511758389711378</c:v>
                </c:pt>
                <c:pt idx="21">
                  <c:v>0.23707758359909056</c:v>
                </c:pt>
                <c:pt idx="22">
                  <c:v>0.24885638563394541</c:v>
                </c:pt>
                <c:pt idx="23">
                  <c:v>0.26045971203327178</c:v>
                </c:pt>
              </c:numCache>
            </c:numRef>
          </c:val>
          <c:smooth val="0"/>
        </c:ser>
        <c:ser>
          <c:idx val="1"/>
          <c:order val="1"/>
          <c:tx>
            <c:v>上周看跌隐波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0">
                  <c:v>0.19382385271772737</c:v>
                </c:pt>
                <c:pt idx="1">
                  <c:v>0.18292189242005347</c:v>
                </c:pt>
                <c:pt idx="2">
                  <c:v>0.17489328604966403</c:v>
                </c:pt>
                <c:pt idx="3">
                  <c:v>0.16692491002224386</c:v>
                </c:pt>
                <c:pt idx="4">
                  <c:v>0.16384341719575224</c:v>
                </c:pt>
                <c:pt idx="5">
                  <c:v>0.16219000338438894</c:v>
                </c:pt>
                <c:pt idx="6">
                  <c:v>0.16048088917173442</c:v>
                </c:pt>
                <c:pt idx="7">
                  <c:v>0.15878964140668511</c:v>
                </c:pt>
                <c:pt idx="8">
                  <c:v>0.15229099303580823</c:v>
                </c:pt>
                <c:pt idx="9">
                  <c:v>0.13711670169077816</c:v>
                </c:pt>
                <c:pt idx="10">
                  <c:v>0.16232457543469964</c:v>
                </c:pt>
                <c:pt idx="11">
                  <c:v>0.1534764370498061</c:v>
                </c:pt>
              </c:numCache>
            </c:numRef>
          </c:val>
          <c:smooth val="0"/>
        </c:ser>
        <c:ser>
          <c:idx val="2"/>
          <c:order val="2"/>
          <c:tx>
            <c:v>本周看涨隐波</c:v>
          </c:tx>
          <c:marker>
            <c:symbol val="none"/>
          </c:marker>
          <c:val>
            <c:numRef>
              <c:f>隐波偏度!$B$13:$Y$13</c:f>
              <c:numCache>
                <c:formatCode>General</c:formatCode>
                <c:ptCount val="24"/>
                <c:pt idx="0">
                  <c:v>0.16556804347842929</c:v>
                </c:pt>
                <c:pt idx="1">
                  <c:v>0.20959269890800111</c:v>
                </c:pt>
                <c:pt idx="2">
                  <c:v>0.19562778278201814</c:v>
                </c:pt>
                <c:pt idx="3">
                  <c:v>0.1878551181164384</c:v>
                </c:pt>
                <c:pt idx="4">
                  <c:v>0.18058417429395018</c:v>
                </c:pt>
                <c:pt idx="5">
                  <c:v>0.17727892619036134</c:v>
                </c:pt>
                <c:pt idx="6">
                  <c:v>0.1738051463750005</c:v>
                </c:pt>
                <c:pt idx="7">
                  <c:v>0.17036344867948444</c:v>
                </c:pt>
                <c:pt idx="8">
                  <c:v>0.1709562898954749</c:v>
                </c:pt>
                <c:pt idx="9">
                  <c:v>0.16983316238179799</c:v>
                </c:pt>
                <c:pt idx="10">
                  <c:v>0.17052219035282726</c:v>
                </c:pt>
                <c:pt idx="11">
                  <c:v>0.17375498919181526</c:v>
                </c:pt>
                <c:pt idx="12">
                  <c:v>0.17965693695560095</c:v>
                </c:pt>
                <c:pt idx="13">
                  <c:v>0.18401605214878913</c:v>
                </c:pt>
                <c:pt idx="14">
                  <c:v>0.18614005835533137</c:v>
                </c:pt>
                <c:pt idx="15">
                  <c:v>0.1804213646137714</c:v>
                </c:pt>
                <c:pt idx="16">
                  <c:v>0.2042588713955879</c:v>
                </c:pt>
                <c:pt idx="17">
                  <c:v>0.21137707869768141</c:v>
                </c:pt>
                <c:pt idx="18">
                  <c:v>0.21563713121891021</c:v>
                </c:pt>
                <c:pt idx="19">
                  <c:v>0.24134073555409907</c:v>
                </c:pt>
                <c:pt idx="20">
                  <c:v>0.22609986598730086</c:v>
                </c:pt>
                <c:pt idx="21">
                  <c:v>0.25663071922540659</c:v>
                </c:pt>
                <c:pt idx="22">
                  <c:v>0.25121004796266555</c:v>
                </c:pt>
                <c:pt idx="23">
                  <c:v>0.2634838057303428</c:v>
                </c:pt>
              </c:numCache>
            </c:numRef>
          </c:val>
          <c:smooth val="0"/>
        </c:ser>
        <c:ser>
          <c:idx val="3"/>
          <c:order val="3"/>
          <c:tx>
            <c:v>本周看跌隐波</c:v>
          </c:tx>
          <c:marker>
            <c:symbol val="none"/>
          </c:marker>
          <c:val>
            <c:numRef>
              <c:f>隐波偏度!$B$17:$Y$17</c:f>
              <c:numCache>
                <c:formatCode>General</c:formatCode>
                <c:ptCount val="24"/>
                <c:pt idx="0">
                  <c:v>0.21557764593213793</c:v>
                </c:pt>
                <c:pt idx="1">
                  <c:v>0.20190270567804569</c:v>
                </c:pt>
                <c:pt idx="2">
                  <c:v>0.19256822440996763</c:v>
                </c:pt>
                <c:pt idx="3">
                  <c:v>0.18202499377004805</c:v>
                </c:pt>
                <c:pt idx="4">
                  <c:v>0.17738126710958774</c:v>
                </c:pt>
                <c:pt idx="5">
                  <c:v>0.17217082090340557</c:v>
                </c:pt>
                <c:pt idx="6">
                  <c:v>0.1725478193391114</c:v>
                </c:pt>
                <c:pt idx="7">
                  <c:v>0.17018363681688903</c:v>
                </c:pt>
                <c:pt idx="8">
                  <c:v>0.16916043624036015</c:v>
                </c:pt>
                <c:pt idx="9">
                  <c:v>0.16437526811145248</c:v>
                </c:pt>
                <c:pt idx="10">
                  <c:v>0.17663010145172472</c:v>
                </c:pt>
                <c:pt idx="11">
                  <c:v>0.18623736269466573</c:v>
                </c:pt>
                <c:pt idx="12">
                  <c:v>0.16033858343809843</c:v>
                </c:pt>
                <c:pt idx="13">
                  <c:v>0.20487518188178536</c:v>
                </c:pt>
                <c:pt idx="14">
                  <c:v>0.21621100330412388</c:v>
                </c:pt>
                <c:pt idx="15">
                  <c:v>0.19290373811662193</c:v>
                </c:pt>
                <c:pt idx="16">
                  <c:v>0.24839004005908966</c:v>
                </c:pt>
                <c:pt idx="17">
                  <c:v>0.2634385063135623</c:v>
                </c:pt>
                <c:pt idx="18">
                  <c:v>0.27807832414507866</c:v>
                </c:pt>
                <c:pt idx="19">
                  <c:v>0.30387610358357425</c:v>
                </c:pt>
                <c:pt idx="20">
                  <c:v>0.35</c:v>
                </c:pt>
                <c:pt idx="21">
                  <c:v>0.39881450206309549</c:v>
                </c:pt>
                <c:pt idx="22">
                  <c:v>0.40984300270527596</c:v>
                </c:pt>
                <c:pt idx="23">
                  <c:v>0.37355483201235534</c:v>
                </c:pt>
              </c:numCache>
            </c:numRef>
          </c:val>
          <c:smooth val="0"/>
        </c:ser>
        <c:dLbls>
          <c:showLegendKey val="0"/>
          <c:showVal val="0"/>
          <c:showCatName val="0"/>
          <c:showSerName val="0"/>
          <c:showPercent val="0"/>
          <c:showBubbleSize val="0"/>
        </c:dLbls>
        <c:marker val="1"/>
        <c:smooth val="0"/>
        <c:axId val="284189056"/>
        <c:axId val="284190592"/>
      </c:lineChart>
      <c:catAx>
        <c:axId val="284189056"/>
        <c:scaling>
          <c:orientation val="minMax"/>
        </c:scaling>
        <c:delete val="0"/>
        <c:axPos val="b"/>
        <c:numFmt formatCode="General" sourceLinked="1"/>
        <c:majorTickMark val="out"/>
        <c:minorTickMark val="none"/>
        <c:tickLblPos val="nextTo"/>
        <c:crossAx val="284190592"/>
        <c:crosses val="autoZero"/>
        <c:auto val="1"/>
        <c:lblAlgn val="ctr"/>
        <c:lblOffset val="100"/>
        <c:noMultiLvlLbl val="0"/>
      </c:catAx>
      <c:valAx>
        <c:axId val="284190592"/>
        <c:scaling>
          <c:orientation val="minMax"/>
        </c:scaling>
        <c:delete val="0"/>
        <c:axPos val="l"/>
        <c:majorGridlines/>
        <c:numFmt formatCode="General" sourceLinked="1"/>
        <c:majorTickMark val="out"/>
        <c:minorTickMark val="none"/>
        <c:tickLblPos val="nextTo"/>
        <c:crossAx val="284189056"/>
        <c:crosses val="autoZero"/>
        <c:crossBetween val="between"/>
      </c:valAx>
    </c:plotArea>
    <c:legend>
      <c:legendPos val="t"/>
      <c:layout>
        <c:manualLayout>
          <c:xMode val="edge"/>
          <c:yMode val="edge"/>
          <c:x val="7.9717438355618703E-2"/>
          <c:y val="0.16265598563745076"/>
          <c:w val="0.9"/>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总PCR!$A$2:$A$184</c:f>
              <c:numCache>
                <c:formatCode>yyyy\-mm\-dd</c:formatCode>
                <c:ptCount val="18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numCache>
            </c:numRef>
          </c:cat>
          <c:val>
            <c:numRef>
              <c:f>总PCR!$E$2:$E$184</c:f>
              <c:numCache>
                <c:formatCode>0.0000</c:formatCode>
                <c:ptCount val="183"/>
                <c:pt idx="0">
                  <c:v>1.3064206074586697</c:v>
                </c:pt>
                <c:pt idx="1">
                  <c:v>0.81649616368286448</c:v>
                </c:pt>
                <c:pt idx="2">
                  <c:v>0.89711433093875559</c:v>
                </c:pt>
                <c:pt idx="3">
                  <c:v>0.65055015661392657</c:v>
                </c:pt>
                <c:pt idx="4">
                  <c:v>0.56668696711327649</c:v>
                </c:pt>
                <c:pt idx="5">
                  <c:v>0.60866118323258345</c:v>
                </c:pt>
                <c:pt idx="6">
                  <c:v>0.59435903643626675</c:v>
                </c:pt>
                <c:pt idx="7">
                  <c:v>0.51660944604249792</c:v>
                </c:pt>
                <c:pt idx="8">
                  <c:v>0.77079087821445902</c:v>
                </c:pt>
                <c:pt idx="9">
                  <c:v>0.70458522926146305</c:v>
                </c:pt>
                <c:pt idx="10">
                  <c:v>0.88679844407398589</c:v>
                </c:pt>
                <c:pt idx="11">
                  <c:v>0.830940416367552</c:v>
                </c:pt>
                <c:pt idx="12">
                  <c:v>0.66467630421118795</c:v>
                </c:pt>
                <c:pt idx="13">
                  <c:v>0.79657070279424214</c:v>
                </c:pt>
                <c:pt idx="14">
                  <c:v>0.57030040260142456</c:v>
                </c:pt>
                <c:pt idx="15">
                  <c:v>0.53996983408748112</c:v>
                </c:pt>
                <c:pt idx="16">
                  <c:v>0.53461350293542076</c:v>
                </c:pt>
                <c:pt idx="17">
                  <c:v>0.45612595135054468</c:v>
                </c:pt>
                <c:pt idx="18">
                  <c:v>0.71752000000000005</c:v>
                </c:pt>
                <c:pt idx="19">
                  <c:v>0.62493021367304469</c:v>
                </c:pt>
                <c:pt idx="20">
                  <c:v>0.49334901818839921</c:v>
                </c:pt>
                <c:pt idx="21">
                  <c:v>0.6335333225231069</c:v>
                </c:pt>
                <c:pt idx="22">
                  <c:v>0.70418787598334109</c:v>
                </c:pt>
                <c:pt idx="23">
                  <c:v>0.59375245271171806</c:v>
                </c:pt>
                <c:pt idx="24">
                  <c:v>0.57097556426039919</c:v>
                </c:pt>
                <c:pt idx="25">
                  <c:v>0.59885564060929408</c:v>
                </c:pt>
                <c:pt idx="26">
                  <c:v>0.65101112839535713</c:v>
                </c:pt>
                <c:pt idx="27">
                  <c:v>0.7646176911544228</c:v>
                </c:pt>
                <c:pt idx="28">
                  <c:v>0.60956790123456794</c:v>
                </c:pt>
                <c:pt idx="29">
                  <c:v>0.63476988229432652</c:v>
                </c:pt>
                <c:pt idx="30">
                  <c:v>0.57737456399248721</c:v>
                </c:pt>
                <c:pt idx="31">
                  <c:v>0.69641910453515832</c:v>
                </c:pt>
                <c:pt idx="32">
                  <c:v>0.88607413357815012</c:v>
                </c:pt>
                <c:pt idx="33">
                  <c:v>0.87413086781673999</c:v>
                </c:pt>
                <c:pt idx="34">
                  <c:v>0.6440763900625317</c:v>
                </c:pt>
                <c:pt idx="35">
                  <c:v>0.67839258888332499</c:v>
                </c:pt>
                <c:pt idx="36">
                  <c:v>0.63910765084593502</c:v>
                </c:pt>
                <c:pt idx="37">
                  <c:v>0.77538967954303417</c:v>
                </c:pt>
                <c:pt idx="38">
                  <c:v>0.72119894889363689</c:v>
                </c:pt>
                <c:pt idx="39">
                  <c:v>0.70915459623213106</c:v>
                </c:pt>
                <c:pt idx="40">
                  <c:v>0.70684789765779321</c:v>
                </c:pt>
                <c:pt idx="41">
                  <c:v>0.80491392347372126</c:v>
                </c:pt>
                <c:pt idx="42">
                  <c:v>0.73609053368218647</c:v>
                </c:pt>
                <c:pt idx="43">
                  <c:v>0.81646072693113669</c:v>
                </c:pt>
                <c:pt idx="44">
                  <c:v>0.92470878443195836</c:v>
                </c:pt>
                <c:pt idx="45">
                  <c:v>0.72604529616724733</c:v>
                </c:pt>
                <c:pt idx="46">
                  <c:v>1.3143013143013142</c:v>
                </c:pt>
                <c:pt idx="47">
                  <c:v>0.74590484205464214</c:v>
                </c:pt>
                <c:pt idx="48">
                  <c:v>0.87613556953179594</c:v>
                </c:pt>
                <c:pt idx="49">
                  <c:v>0.86879011171856435</c:v>
                </c:pt>
                <c:pt idx="50">
                  <c:v>1.1324963327293123</c:v>
                </c:pt>
                <c:pt idx="51">
                  <c:v>0.87507419752522719</c:v>
                </c:pt>
                <c:pt idx="52">
                  <c:v>0.89172598445765039</c:v>
                </c:pt>
                <c:pt idx="53">
                  <c:v>0.77407395362450815</c:v>
                </c:pt>
                <c:pt idx="54">
                  <c:v>0.68244547983063764</c:v>
                </c:pt>
                <c:pt idx="55">
                  <c:v>0.85184032101840323</c:v>
                </c:pt>
                <c:pt idx="56">
                  <c:v>0.69318454112894945</c:v>
                </c:pt>
                <c:pt idx="57">
                  <c:v>0.62906904416338383</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pt idx="100">
                  <c:v>0.72945767371735182</c:v>
                </c:pt>
                <c:pt idx="101">
                  <c:v>1.0103738847188783</c:v>
                </c:pt>
                <c:pt idx="102">
                  <c:v>0.44384295713035871</c:v>
                </c:pt>
                <c:pt idx="103">
                  <c:v>0.91798284669822372</c:v>
                </c:pt>
                <c:pt idx="104">
                  <c:v>0.74069226795247112</c:v>
                </c:pt>
                <c:pt idx="105">
                  <c:v>0.57175820718106496</c:v>
                </c:pt>
                <c:pt idx="106">
                  <c:v>1.0553004692466825</c:v>
                </c:pt>
                <c:pt idx="107">
                  <c:v>0.54542775758766326</c:v>
                </c:pt>
                <c:pt idx="108">
                  <c:v>0.74165168250706393</c:v>
                </c:pt>
                <c:pt idx="109">
                  <c:v>0.75144082562659165</c:v>
                </c:pt>
                <c:pt idx="110">
                  <c:v>0.76255665949361295</c:v>
                </c:pt>
                <c:pt idx="111">
                  <c:v>0.69393948875191636</c:v>
                </c:pt>
                <c:pt idx="112">
                  <c:v>0.56483224790888609</c:v>
                </c:pt>
                <c:pt idx="113">
                  <c:v>0.63962450020281625</c:v>
                </c:pt>
                <c:pt idx="114">
                  <c:v>0.69355126035450254</c:v>
                </c:pt>
                <c:pt idx="115">
                  <c:v>0.48579038847881539</c:v>
                </c:pt>
                <c:pt idx="116">
                  <c:v>0.48938133203356193</c:v>
                </c:pt>
                <c:pt idx="117">
                  <c:v>0.43901779680108133</c:v>
                </c:pt>
                <c:pt idx="118">
                  <c:v>0.39305354558610711</c:v>
                </c:pt>
                <c:pt idx="119">
                  <c:v>0.47010118014876401</c:v>
                </c:pt>
                <c:pt idx="120">
                  <c:v>0.46279619339592515</c:v>
                </c:pt>
                <c:pt idx="121">
                  <c:v>0.49561192594373649</c:v>
                </c:pt>
                <c:pt idx="122">
                  <c:v>0.58322637303249336</c:v>
                </c:pt>
                <c:pt idx="123">
                  <c:v>0.53021505225895815</c:v>
                </c:pt>
                <c:pt idx="124">
                  <c:v>0.61015989491325817</c:v>
                </c:pt>
                <c:pt idx="125">
                  <c:v>0.68025230470645315</c:v>
                </c:pt>
                <c:pt idx="126">
                  <c:v>0.70967405294465513</c:v>
                </c:pt>
                <c:pt idx="127">
                  <c:v>0.7338641258239248</c:v>
                </c:pt>
                <c:pt idx="128">
                  <c:v>0.65120441275709295</c:v>
                </c:pt>
                <c:pt idx="129">
                  <c:v>0.79763843648208466</c:v>
                </c:pt>
                <c:pt idx="130">
                  <c:v>0.66427904079725941</c:v>
                </c:pt>
                <c:pt idx="131">
                  <c:v>0.84371038174390756</c:v>
                </c:pt>
                <c:pt idx="132">
                  <c:v>0.82335541122757383</c:v>
                </c:pt>
                <c:pt idx="133">
                  <c:v>0.62268016021035255</c:v>
                </c:pt>
                <c:pt idx="134">
                  <c:v>1.0209379727685326</c:v>
                </c:pt>
                <c:pt idx="135">
                  <c:v>0.55971849320641121</c:v>
                </c:pt>
                <c:pt idx="136">
                  <c:v>0.90319974143503556</c:v>
                </c:pt>
                <c:pt idx="137">
                  <c:v>1.2938252885182377</c:v>
                </c:pt>
                <c:pt idx="138">
                  <c:v>0.6434678451943332</c:v>
                </c:pt>
                <c:pt idx="139">
                  <c:v>0.62535792005497648</c:v>
                </c:pt>
                <c:pt idx="140">
                  <c:v>0.65470434683917833</c:v>
                </c:pt>
                <c:pt idx="141">
                  <c:v>0.74425580701396199</c:v>
                </c:pt>
                <c:pt idx="142">
                  <c:v>0.9450818817148221</c:v>
                </c:pt>
                <c:pt idx="143">
                  <c:v>1.1489857775705292</c:v>
                </c:pt>
                <c:pt idx="144">
                  <c:v>0.85450652965103835</c:v>
                </c:pt>
                <c:pt idx="145">
                  <c:v>0.61629144265232971</c:v>
                </c:pt>
                <c:pt idx="146">
                  <c:v>0.78425310793922254</c:v>
                </c:pt>
                <c:pt idx="147">
                  <c:v>0.6935219657483247</c:v>
                </c:pt>
                <c:pt idx="148">
                  <c:v>0.71781028313139561</c:v>
                </c:pt>
                <c:pt idx="149">
                  <c:v>0.7151865197117423</c:v>
                </c:pt>
                <c:pt idx="150">
                  <c:v>0.77972734981410219</c:v>
                </c:pt>
                <c:pt idx="151">
                  <c:v>0.76691914526756577</c:v>
                </c:pt>
                <c:pt idx="152">
                  <c:v>0.85042150010807693</c:v>
                </c:pt>
                <c:pt idx="153">
                  <c:v>0.86344119000153352</c:v>
                </c:pt>
                <c:pt idx="154">
                  <c:v>1.179877455747909</c:v>
                </c:pt>
                <c:pt idx="155">
                  <c:v>1.051074145281284</c:v>
                </c:pt>
                <c:pt idx="156">
                  <c:v>1.0005624929688379</c:v>
                </c:pt>
                <c:pt idx="157">
                  <c:v>1.1526437863457595</c:v>
                </c:pt>
                <c:pt idx="158">
                  <c:v>0.93696598420119293</c:v>
                </c:pt>
                <c:pt idx="159">
                  <c:v>0.80516090539583096</c:v>
                </c:pt>
                <c:pt idx="160">
                  <c:v>0.97733268923488537</c:v>
                </c:pt>
                <c:pt idx="161">
                  <c:v>0.87759443752594435</c:v>
                </c:pt>
                <c:pt idx="162">
                  <c:v>0.69760599170790427</c:v>
                </c:pt>
                <c:pt idx="163">
                  <c:v>0.96186212104865676</c:v>
                </c:pt>
                <c:pt idx="164">
                  <c:v>0.76239743132358184</c:v>
                </c:pt>
                <c:pt idx="165">
                  <c:v>0.85927838554053138</c:v>
                </c:pt>
                <c:pt idx="166">
                  <c:v>0.91157205240174677</c:v>
                </c:pt>
                <c:pt idx="167">
                  <c:v>0.72643286938552243</c:v>
                </c:pt>
                <c:pt idx="168">
                  <c:v>1.0032799536947714</c:v>
                </c:pt>
                <c:pt idx="169">
                  <c:v>0.76772228100259043</c:v>
                </c:pt>
                <c:pt idx="170">
                  <c:v>0.73552847433794233</c:v>
                </c:pt>
                <c:pt idx="171">
                  <c:v>0.77142335932868156</c:v>
                </c:pt>
                <c:pt idx="172">
                  <c:v>0.88035709319464917</c:v>
                </c:pt>
                <c:pt idx="173">
                  <c:v>1.1469253359437572</c:v>
                </c:pt>
                <c:pt idx="174">
                  <c:v>0.82475149995522523</c:v>
                </c:pt>
                <c:pt idx="175">
                  <c:v>0.67130620985010703</c:v>
                </c:pt>
                <c:pt idx="176">
                  <c:v>0.89020321504397937</c:v>
                </c:pt>
                <c:pt idx="177">
                  <c:v>0.62932255742121279</c:v>
                </c:pt>
                <c:pt idx="178">
                  <c:v>1.154018425204866</c:v>
                </c:pt>
                <c:pt idx="179">
                  <c:v>1.4505692322662256</c:v>
                </c:pt>
                <c:pt idx="180">
                  <c:v>0.87419032580322897</c:v>
                </c:pt>
                <c:pt idx="181">
                  <c:v>0.53345498783454992</c:v>
                </c:pt>
                <c:pt idx="182">
                  <c:v>0.76670817766708177</c:v>
                </c:pt>
              </c:numCache>
            </c:numRef>
          </c:val>
          <c:smooth val="0"/>
        </c:ser>
        <c:ser>
          <c:idx val="1"/>
          <c:order val="1"/>
          <c:tx>
            <c:v>持仓量PCR</c:v>
          </c:tx>
          <c:marker>
            <c:symbol val="none"/>
          </c:marker>
          <c:cat>
            <c:numRef>
              <c:f>总PCR!$A$2:$A$184</c:f>
              <c:numCache>
                <c:formatCode>yyyy\-mm\-dd</c:formatCode>
                <c:ptCount val="18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numCache>
            </c:numRef>
          </c:cat>
          <c:val>
            <c:numRef>
              <c:f>总PCR!$J$2:$J$184</c:f>
              <c:numCache>
                <c:formatCode>0.0000</c:formatCode>
                <c:ptCount val="183"/>
                <c:pt idx="0">
                  <c:v>0.88971163761507788</c:v>
                </c:pt>
                <c:pt idx="1">
                  <c:v>0.87236966939937233</c:v>
                </c:pt>
                <c:pt idx="2">
                  <c:v>0.84847095170283127</c:v>
                </c:pt>
                <c:pt idx="3">
                  <c:v>0.83759267745308852</c:v>
                </c:pt>
                <c:pt idx="4">
                  <c:v>0.81756146164005838</c:v>
                </c:pt>
                <c:pt idx="5">
                  <c:v>0.82841841463833288</c:v>
                </c:pt>
                <c:pt idx="6">
                  <c:v>0.80692574585387211</c:v>
                </c:pt>
                <c:pt idx="7">
                  <c:v>0.78367564683915714</c:v>
                </c:pt>
                <c:pt idx="8">
                  <c:v>0.76114174911126631</c:v>
                </c:pt>
                <c:pt idx="9">
                  <c:v>0.7611448180342949</c:v>
                </c:pt>
                <c:pt idx="10">
                  <c:v>0.76743850537401714</c:v>
                </c:pt>
                <c:pt idx="11">
                  <c:v>0.77467155827919087</c:v>
                </c:pt>
                <c:pt idx="12">
                  <c:v>0.77376892300487643</c:v>
                </c:pt>
                <c:pt idx="13">
                  <c:v>0.7696081909878858</c:v>
                </c:pt>
                <c:pt idx="14">
                  <c:v>0.76588177339901475</c:v>
                </c:pt>
                <c:pt idx="15">
                  <c:v>0.76651834604418045</c:v>
                </c:pt>
                <c:pt idx="16">
                  <c:v>0.7566421437828772</c:v>
                </c:pt>
                <c:pt idx="17">
                  <c:v>0.76189349560411479</c:v>
                </c:pt>
                <c:pt idx="18">
                  <c:v>0.78071192207743645</c:v>
                </c:pt>
                <c:pt idx="19">
                  <c:v>0.78500465116279072</c:v>
                </c:pt>
                <c:pt idx="20">
                  <c:v>0.79102770799745037</c:v>
                </c:pt>
                <c:pt idx="21">
                  <c:v>0.78571829930698633</c:v>
                </c:pt>
                <c:pt idx="22">
                  <c:v>0.78894646588640982</c:v>
                </c:pt>
                <c:pt idx="23">
                  <c:v>0.77972335053244046</c:v>
                </c:pt>
                <c:pt idx="24">
                  <c:v>0.77563319488557703</c:v>
                </c:pt>
                <c:pt idx="25">
                  <c:v>0.75461358478616536</c:v>
                </c:pt>
                <c:pt idx="26">
                  <c:v>0.77488345094055544</c:v>
                </c:pt>
                <c:pt idx="27">
                  <c:v>0.7910550018726763</c:v>
                </c:pt>
                <c:pt idx="28">
                  <c:v>0.81325306862257118</c:v>
                </c:pt>
                <c:pt idx="29">
                  <c:v>0.79666023801683994</c:v>
                </c:pt>
                <c:pt idx="30">
                  <c:v>0.8123956026881094</c:v>
                </c:pt>
                <c:pt idx="31">
                  <c:v>0.80340576947515563</c:v>
                </c:pt>
                <c:pt idx="32">
                  <c:v>0.85185185185185186</c:v>
                </c:pt>
                <c:pt idx="33">
                  <c:v>0.83736183903274353</c:v>
                </c:pt>
                <c:pt idx="34">
                  <c:v>0.89361133100836565</c:v>
                </c:pt>
                <c:pt idx="35">
                  <c:v>0.94080015379357484</c:v>
                </c:pt>
                <c:pt idx="36">
                  <c:v>0.95802224029231309</c:v>
                </c:pt>
                <c:pt idx="37">
                  <c:v>1.0476423666655785</c:v>
                </c:pt>
                <c:pt idx="38">
                  <c:v>1.232309651011982</c:v>
                </c:pt>
                <c:pt idx="39">
                  <c:v>1.2297711697061215</c:v>
                </c:pt>
                <c:pt idx="40">
                  <c:v>1.2845298019475937</c:v>
                </c:pt>
                <c:pt idx="41">
                  <c:v>1.3684588235294117</c:v>
                </c:pt>
                <c:pt idx="42">
                  <c:v>1.3486714118966425</c:v>
                </c:pt>
                <c:pt idx="43">
                  <c:v>1.3388459504764476</c:v>
                </c:pt>
                <c:pt idx="44">
                  <c:v>1.2420365506794677</c:v>
                </c:pt>
                <c:pt idx="45">
                  <c:v>1.2459067941795154</c:v>
                </c:pt>
                <c:pt idx="46">
                  <c:v>1.2332684271555778</c:v>
                </c:pt>
                <c:pt idx="47">
                  <c:v>1.2174483686220063</c:v>
                </c:pt>
                <c:pt idx="48">
                  <c:v>1.2013150055323858</c:v>
                </c:pt>
                <c:pt idx="49">
                  <c:v>1.2282383725294641</c:v>
                </c:pt>
                <c:pt idx="50">
                  <c:v>1.1976160341929996</c:v>
                </c:pt>
                <c:pt idx="51">
                  <c:v>1.1655138939449097</c:v>
                </c:pt>
                <c:pt idx="52">
                  <c:v>1.1639919204912019</c:v>
                </c:pt>
                <c:pt idx="53">
                  <c:v>1.1747315108616061</c:v>
                </c:pt>
                <c:pt idx="54">
                  <c:v>1.144479192216499</c:v>
                </c:pt>
                <c:pt idx="55">
                  <c:v>1.1547220429239955</c:v>
                </c:pt>
                <c:pt idx="56">
                  <c:v>1.1472733242460724</c:v>
                </c:pt>
                <c:pt idx="57">
                  <c:v>1.1577222611562417</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pt idx="100">
                  <c:v>0.74487855133335978</c:v>
                </c:pt>
                <c:pt idx="101">
                  <c:v>0.80352030192608015</c:v>
                </c:pt>
                <c:pt idx="102">
                  <c:v>0.7861571563160441</c:v>
                </c:pt>
                <c:pt idx="103">
                  <c:v>0.79709111855131942</c:v>
                </c:pt>
                <c:pt idx="104">
                  <c:v>0.74355784851512741</c:v>
                </c:pt>
                <c:pt idx="105">
                  <c:v>0.71923609225695806</c:v>
                </c:pt>
                <c:pt idx="106">
                  <c:v>0.70110301742015757</c:v>
                </c:pt>
                <c:pt idx="107">
                  <c:v>0.69408390905197292</c:v>
                </c:pt>
                <c:pt idx="108">
                  <c:v>0.68168255802180922</c:v>
                </c:pt>
                <c:pt idx="109">
                  <c:v>0.69577451632865128</c:v>
                </c:pt>
                <c:pt idx="110">
                  <c:v>0.68837329861236696</c:v>
                </c:pt>
                <c:pt idx="111">
                  <c:v>0.68308927045856549</c:v>
                </c:pt>
                <c:pt idx="112">
                  <c:v>0.70210419977578198</c:v>
                </c:pt>
                <c:pt idx="113">
                  <c:v>0.70944068356816703</c:v>
                </c:pt>
                <c:pt idx="114">
                  <c:v>0.7110923195705724</c:v>
                </c:pt>
                <c:pt idx="115">
                  <c:v>0.71692398068768015</c:v>
                </c:pt>
                <c:pt idx="116">
                  <c:v>0.69427443837279901</c:v>
                </c:pt>
                <c:pt idx="117">
                  <c:v>0.6999640850514679</c:v>
                </c:pt>
                <c:pt idx="118">
                  <c:v>0.69386650810167982</c:v>
                </c:pt>
                <c:pt idx="119">
                  <c:v>0.68874113839665918</c:v>
                </c:pt>
                <c:pt idx="120">
                  <c:v>0.6931639556140331</c:v>
                </c:pt>
                <c:pt idx="121">
                  <c:v>0.69793205317577545</c:v>
                </c:pt>
                <c:pt idx="122">
                  <c:v>0.68741590458163238</c:v>
                </c:pt>
                <c:pt idx="123">
                  <c:v>0.68653933525687549</c:v>
                </c:pt>
                <c:pt idx="124">
                  <c:v>0.707769552546065</c:v>
                </c:pt>
                <c:pt idx="125">
                  <c:v>0.71568486590038316</c:v>
                </c:pt>
                <c:pt idx="126">
                  <c:v>0.71918400692008266</c:v>
                </c:pt>
                <c:pt idx="127">
                  <c:v>0.7345317852487343</c:v>
                </c:pt>
                <c:pt idx="128">
                  <c:v>0.73686640704265571</c:v>
                </c:pt>
                <c:pt idx="129">
                  <c:v>0.74289177738571033</c:v>
                </c:pt>
                <c:pt idx="130">
                  <c:v>0.74803701199417649</c:v>
                </c:pt>
                <c:pt idx="131">
                  <c:v>0.73815068618091828</c:v>
                </c:pt>
                <c:pt idx="132">
                  <c:v>0.73446320839289603</c:v>
                </c:pt>
                <c:pt idx="133">
                  <c:v>0.74046250841944938</c:v>
                </c:pt>
                <c:pt idx="134">
                  <c:v>0.75196145396813674</c:v>
                </c:pt>
                <c:pt idx="135">
                  <c:v>0.76982337116905553</c:v>
                </c:pt>
                <c:pt idx="136">
                  <c:v>0.76563455132923319</c:v>
                </c:pt>
                <c:pt idx="137">
                  <c:v>0.74245398155487619</c:v>
                </c:pt>
                <c:pt idx="138">
                  <c:v>0.75959383753501397</c:v>
                </c:pt>
                <c:pt idx="139">
                  <c:v>0.78035658108463823</c:v>
                </c:pt>
                <c:pt idx="140">
                  <c:v>0.82435299950421415</c:v>
                </c:pt>
                <c:pt idx="141">
                  <c:v>0.84987317902341208</c:v>
                </c:pt>
                <c:pt idx="142">
                  <c:v>0.86199495449802543</c:v>
                </c:pt>
                <c:pt idx="143">
                  <c:v>0.86753621819310522</c:v>
                </c:pt>
                <c:pt idx="144">
                  <c:v>0.88719313080482054</c:v>
                </c:pt>
                <c:pt idx="145">
                  <c:v>1.0809872796539033</c:v>
                </c:pt>
                <c:pt idx="146">
                  <c:v>1.1276731517509728</c:v>
                </c:pt>
                <c:pt idx="147">
                  <c:v>1.1594704595819876</c:v>
                </c:pt>
                <c:pt idx="148">
                  <c:v>1.1188103843986641</c:v>
                </c:pt>
                <c:pt idx="149">
                  <c:v>1.1008896536086323</c:v>
                </c:pt>
                <c:pt idx="150">
                  <c:v>1.1260255727224293</c:v>
                </c:pt>
                <c:pt idx="151">
                  <c:v>1.1318648159324081</c:v>
                </c:pt>
                <c:pt idx="152">
                  <c:v>1.1292029356545485</c:v>
                </c:pt>
                <c:pt idx="153">
                  <c:v>1.1111821004612887</c:v>
                </c:pt>
                <c:pt idx="154">
                  <c:v>1.0949840315611497</c:v>
                </c:pt>
                <c:pt idx="155">
                  <c:v>1.1019819643686306</c:v>
                </c:pt>
                <c:pt idx="156">
                  <c:v>1.1126652917627078</c:v>
                </c:pt>
                <c:pt idx="157">
                  <c:v>1.1283022321888265</c:v>
                </c:pt>
                <c:pt idx="158">
                  <c:v>1.0974801805646013</c:v>
                </c:pt>
                <c:pt idx="159">
                  <c:v>0.99803652652662533</c:v>
                </c:pt>
                <c:pt idx="160">
                  <c:v>1.0187025985026239</c:v>
                </c:pt>
                <c:pt idx="161">
                  <c:v>1.0263094976234424</c:v>
                </c:pt>
                <c:pt idx="162">
                  <c:v>1.0371635233399206</c:v>
                </c:pt>
                <c:pt idx="163">
                  <c:v>1.0253269279583337</c:v>
                </c:pt>
                <c:pt idx="164">
                  <c:v>1.0580310382933744</c:v>
                </c:pt>
                <c:pt idx="165">
                  <c:v>1.1164850136239781</c:v>
                </c:pt>
                <c:pt idx="166">
                  <c:v>1.1238865919648031</c:v>
                </c:pt>
                <c:pt idx="167">
                  <c:v>1.1267398911353033</c:v>
                </c:pt>
                <c:pt idx="168">
                  <c:v>1.1236199252368948</c:v>
                </c:pt>
                <c:pt idx="169">
                  <c:v>1.0431857677768421</c:v>
                </c:pt>
                <c:pt idx="170">
                  <c:v>1.0492312930045871</c:v>
                </c:pt>
                <c:pt idx="171">
                  <c:v>1.0400552000562548</c:v>
                </c:pt>
                <c:pt idx="172">
                  <c:v>1.0469680398590351</c:v>
                </c:pt>
                <c:pt idx="173">
                  <c:v>1.0399678111587982</c:v>
                </c:pt>
                <c:pt idx="174">
                  <c:v>1.0861114098290139</c:v>
                </c:pt>
                <c:pt idx="175">
                  <c:v>1.0953684834229591</c:v>
                </c:pt>
                <c:pt idx="176">
                  <c:v>1.0495838329076093</c:v>
                </c:pt>
                <c:pt idx="177">
                  <c:v>1.0597665768885469</c:v>
                </c:pt>
                <c:pt idx="178">
                  <c:v>1.0597665768885469</c:v>
                </c:pt>
                <c:pt idx="179">
                  <c:v>1.1106283071100675</c:v>
                </c:pt>
                <c:pt idx="180">
                  <c:v>1.1306265620204323</c:v>
                </c:pt>
                <c:pt idx="181">
                  <c:v>1.1407024612420076</c:v>
                </c:pt>
                <c:pt idx="182">
                  <c:v>1.1752232142857142</c:v>
                </c:pt>
              </c:numCache>
            </c:numRef>
          </c:val>
          <c:smooth val="0"/>
        </c:ser>
        <c:dLbls>
          <c:showLegendKey val="0"/>
          <c:showVal val="0"/>
          <c:showCatName val="0"/>
          <c:showSerName val="0"/>
          <c:showPercent val="0"/>
          <c:showBubbleSize val="0"/>
        </c:dLbls>
        <c:marker val="1"/>
        <c:smooth val="0"/>
        <c:axId val="266111616"/>
        <c:axId val="266113408"/>
      </c:lineChart>
      <c:catAx>
        <c:axId val="266111616"/>
        <c:scaling>
          <c:orientation val="minMax"/>
        </c:scaling>
        <c:delete val="0"/>
        <c:axPos val="b"/>
        <c:numFmt formatCode="yyyy\-mm\-dd" sourceLinked="1"/>
        <c:majorTickMark val="out"/>
        <c:minorTickMark val="none"/>
        <c:tickLblPos val="nextTo"/>
        <c:crossAx val="266113408"/>
        <c:crosses val="autoZero"/>
        <c:auto val="0"/>
        <c:lblAlgn val="ctr"/>
        <c:lblOffset val="100"/>
        <c:noMultiLvlLbl val="1"/>
      </c:catAx>
      <c:valAx>
        <c:axId val="266113408"/>
        <c:scaling>
          <c:orientation val="minMax"/>
        </c:scaling>
        <c:delete val="0"/>
        <c:axPos val="l"/>
        <c:majorGridlines/>
        <c:numFmt formatCode="0.0000" sourceLinked="1"/>
        <c:majorTickMark val="out"/>
        <c:minorTickMark val="none"/>
        <c:tickLblPos val="nextTo"/>
        <c:crossAx val="26611161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平值波动率!$A$33:$A$176</c:f>
              <c:numCache>
                <c:formatCode>yyyy\-mm\-dd</c:formatCode>
                <c:ptCount val="144"/>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pt idx="135">
                  <c:v>43360</c:v>
                </c:pt>
                <c:pt idx="136">
                  <c:v>43361</c:v>
                </c:pt>
                <c:pt idx="137">
                  <c:v>43362</c:v>
                </c:pt>
                <c:pt idx="138">
                  <c:v>43363</c:v>
                </c:pt>
                <c:pt idx="139">
                  <c:v>43364</c:v>
                </c:pt>
                <c:pt idx="140">
                  <c:v>43368</c:v>
                </c:pt>
                <c:pt idx="141">
                  <c:v>43369</c:v>
                </c:pt>
                <c:pt idx="142">
                  <c:v>43370</c:v>
                </c:pt>
                <c:pt idx="143">
                  <c:v>43371</c:v>
                </c:pt>
              </c:numCache>
            </c:numRef>
          </c:cat>
          <c:val>
            <c:numRef>
              <c:f>平值波动率!$AN$33:$AN$176</c:f>
              <c:numCache>
                <c:formatCode>###,###,##0.0000</c:formatCode>
                <c:ptCount val="144"/>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pt idx="100">
                  <c:v>0.16278271049026402</c:v>
                </c:pt>
                <c:pt idx="101">
                  <c:v>0.16340952626883981</c:v>
                </c:pt>
                <c:pt idx="102">
                  <c:v>0.16365426232844588</c:v>
                </c:pt>
                <c:pt idx="103">
                  <c:v>0.16772624776441603</c:v>
                </c:pt>
                <c:pt idx="104">
                  <c:v>0.1690396328285709</c:v>
                </c:pt>
                <c:pt idx="105">
                  <c:v>0.16881574344135819</c:v>
                </c:pt>
                <c:pt idx="106">
                  <c:v>0.16574213330943138</c:v>
                </c:pt>
                <c:pt idx="107">
                  <c:v>0.17429338170092551</c:v>
                </c:pt>
                <c:pt idx="108">
                  <c:v>0.17042488601349293</c:v>
                </c:pt>
                <c:pt idx="109">
                  <c:v>0.17281702304422855</c:v>
                </c:pt>
                <c:pt idx="110">
                  <c:v>0.17218067054633049</c:v>
                </c:pt>
                <c:pt idx="111">
                  <c:v>0.17374929696246982</c:v>
                </c:pt>
                <c:pt idx="112">
                  <c:v>0.17657414773132649</c:v>
                </c:pt>
                <c:pt idx="113">
                  <c:v>0.17651321703553199</c:v>
                </c:pt>
                <c:pt idx="114">
                  <c:v>0.17442820707034321</c:v>
                </c:pt>
                <c:pt idx="115">
                  <c:v>0.18377222505774349</c:v>
                </c:pt>
                <c:pt idx="116">
                  <c:v>0.18423448772463943</c:v>
                </c:pt>
                <c:pt idx="117">
                  <c:v>0.1800042970557883</c:v>
                </c:pt>
                <c:pt idx="118">
                  <c:v>0.17625164270587262</c:v>
                </c:pt>
                <c:pt idx="119">
                  <c:v>0.18172506394736462</c:v>
                </c:pt>
                <c:pt idx="120">
                  <c:v>0.18731124199371779</c:v>
                </c:pt>
                <c:pt idx="121">
                  <c:v>0.19320921115741127</c:v>
                </c:pt>
                <c:pt idx="122">
                  <c:v>0.18584185706302522</c:v>
                </c:pt>
                <c:pt idx="123">
                  <c:v>0.18791135495819147</c:v>
                </c:pt>
                <c:pt idx="124">
                  <c:v>0.18959758104447272</c:v>
                </c:pt>
                <c:pt idx="125">
                  <c:v>0.18552827781081196</c:v>
                </c:pt>
                <c:pt idx="126">
                  <c:v>0.17981804790765046</c:v>
                </c:pt>
                <c:pt idx="127">
                  <c:v>0.17993180308781562</c:v>
                </c:pt>
                <c:pt idx="128">
                  <c:v>0.17930550884857774</c:v>
                </c:pt>
                <c:pt idx="129">
                  <c:v>0.17818247074164445</c:v>
                </c:pt>
                <c:pt idx="130">
                  <c:v>0.18063684976708144</c:v>
                </c:pt>
                <c:pt idx="131">
                  <c:v>0.18319932154558596</c:v>
                </c:pt>
                <c:pt idx="132">
                  <c:v>0.18574169170789417</c:v>
                </c:pt>
                <c:pt idx="133">
                  <c:v>0.18624849383424963</c:v>
                </c:pt>
                <c:pt idx="134">
                  <c:v>0.18840893328882752</c:v>
                </c:pt>
                <c:pt idx="135">
                  <c:v>0.19123408208016301</c:v>
                </c:pt>
                <c:pt idx="136">
                  <c:v>0.1953343945527449</c:v>
                </c:pt>
                <c:pt idx="137">
                  <c:v>0.19524769981365647</c:v>
                </c:pt>
                <c:pt idx="138">
                  <c:v>0.17437538258597252</c:v>
                </c:pt>
                <c:pt idx="139">
                  <c:v>0.18463646044407039</c:v>
                </c:pt>
                <c:pt idx="140">
                  <c:v>0.18409252471685406</c:v>
                </c:pt>
                <c:pt idx="141">
                  <c:v>0.18712177420280873</c:v>
                </c:pt>
                <c:pt idx="142">
                  <c:v>0.19982568271528925</c:v>
                </c:pt>
                <c:pt idx="143">
                  <c:v>0.21696295872155572</c:v>
                </c:pt>
              </c:numCache>
            </c:numRef>
          </c:val>
          <c:smooth val="0"/>
        </c:ser>
        <c:ser>
          <c:idx val="1"/>
          <c:order val="1"/>
          <c:tx>
            <c:v>30天历史波动率</c:v>
          </c:tx>
          <c:marker>
            <c:symbol val="none"/>
          </c:marker>
          <c:cat>
            <c:numRef>
              <c:f>平值波动率!$A$33:$A$176</c:f>
              <c:numCache>
                <c:formatCode>yyyy\-mm\-dd</c:formatCode>
                <c:ptCount val="144"/>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pt idx="135">
                  <c:v>43360</c:v>
                </c:pt>
                <c:pt idx="136">
                  <c:v>43361</c:v>
                </c:pt>
                <c:pt idx="137">
                  <c:v>43362</c:v>
                </c:pt>
                <c:pt idx="138">
                  <c:v>43363</c:v>
                </c:pt>
                <c:pt idx="139">
                  <c:v>43364</c:v>
                </c:pt>
                <c:pt idx="140">
                  <c:v>43368</c:v>
                </c:pt>
                <c:pt idx="141">
                  <c:v>43369</c:v>
                </c:pt>
                <c:pt idx="142">
                  <c:v>43370</c:v>
                </c:pt>
                <c:pt idx="143">
                  <c:v>43371</c:v>
                </c:pt>
              </c:numCache>
            </c:numRef>
          </c:cat>
          <c:val>
            <c:numRef>
              <c:f>平值波动率!$AO$33:$AO$176</c:f>
              <c:numCache>
                <c:formatCode>General</c:formatCode>
                <c:ptCount val="144"/>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pt idx="100">
                  <c:v>0.1564896666353473</c:v>
                </c:pt>
                <c:pt idx="101">
                  <c:v>0.13759416970269528</c:v>
                </c:pt>
                <c:pt idx="102">
                  <c:v>0.14276475572179242</c:v>
                </c:pt>
                <c:pt idx="103">
                  <c:v>0.13954793014239222</c:v>
                </c:pt>
                <c:pt idx="104">
                  <c:v>0.14156470322042228</c:v>
                </c:pt>
                <c:pt idx="105">
                  <c:v>0.14341708085089278</c:v>
                </c:pt>
                <c:pt idx="106">
                  <c:v>0.13885982106569678</c:v>
                </c:pt>
                <c:pt idx="107">
                  <c:v>0.14065089167029179</c:v>
                </c:pt>
                <c:pt idx="108">
                  <c:v>0.14109775267750019</c:v>
                </c:pt>
                <c:pt idx="109">
                  <c:v>0.13885188501912532</c:v>
                </c:pt>
                <c:pt idx="110">
                  <c:v>0.15062087188376008</c:v>
                </c:pt>
                <c:pt idx="111">
                  <c:v>0.15520957610075306</c:v>
                </c:pt>
                <c:pt idx="112">
                  <c:v>0.15560173435702299</c:v>
                </c:pt>
                <c:pt idx="113">
                  <c:v>0.16305903085013418</c:v>
                </c:pt>
                <c:pt idx="114">
                  <c:v>0.15990953014811435</c:v>
                </c:pt>
                <c:pt idx="115">
                  <c:v>0.16452814890738371</c:v>
                </c:pt>
                <c:pt idx="116">
                  <c:v>0.16064316550657129</c:v>
                </c:pt>
                <c:pt idx="117">
                  <c:v>0.16127050433381901</c:v>
                </c:pt>
                <c:pt idx="118">
                  <c:v>0.17892254783283373</c:v>
                </c:pt>
                <c:pt idx="119">
                  <c:v>0.17703895668421984</c:v>
                </c:pt>
                <c:pt idx="120">
                  <c:v>0.19499371438590254</c:v>
                </c:pt>
                <c:pt idx="121">
                  <c:v>0.19152837492584052</c:v>
                </c:pt>
                <c:pt idx="122">
                  <c:v>0.19221630052620126</c:v>
                </c:pt>
                <c:pt idx="123">
                  <c:v>0.19574462982692381</c:v>
                </c:pt>
                <c:pt idx="124">
                  <c:v>0.19463102673421953</c:v>
                </c:pt>
                <c:pt idx="125">
                  <c:v>0.19684182498186475</c:v>
                </c:pt>
                <c:pt idx="126">
                  <c:v>0.19703259717939794</c:v>
                </c:pt>
                <c:pt idx="127">
                  <c:v>0.19591618756873985</c:v>
                </c:pt>
                <c:pt idx="128">
                  <c:v>0.19491809610046329</c:v>
                </c:pt>
                <c:pt idx="129">
                  <c:v>0.19442989299723334</c:v>
                </c:pt>
                <c:pt idx="130">
                  <c:v>0.19618261004133875</c:v>
                </c:pt>
                <c:pt idx="131">
                  <c:v>0.19640787479059876</c:v>
                </c:pt>
                <c:pt idx="132">
                  <c:v>0.1917862480061456</c:v>
                </c:pt>
                <c:pt idx="133">
                  <c:v>0.20604058801444045</c:v>
                </c:pt>
                <c:pt idx="134">
                  <c:v>0.20514656338458226</c:v>
                </c:pt>
                <c:pt idx="135">
                  <c:v>0.20489843556329357</c:v>
                </c:pt>
                <c:pt idx="136">
                  <c:v>0.20492596877090463</c:v>
                </c:pt>
                <c:pt idx="137">
                  <c:v>0.19564037990937222</c:v>
                </c:pt>
                <c:pt idx="138">
                  <c:v>0.19555954868889827</c:v>
                </c:pt>
                <c:pt idx="139">
                  <c:v>0.1969057658792705</c:v>
                </c:pt>
                <c:pt idx="140">
                  <c:v>0.19902787669634356</c:v>
                </c:pt>
                <c:pt idx="141">
                  <c:v>0.19381764882255534</c:v>
                </c:pt>
                <c:pt idx="142">
                  <c:v>0.19377815089209136</c:v>
                </c:pt>
                <c:pt idx="143">
                  <c:v>0.19076381764509173</c:v>
                </c:pt>
              </c:numCache>
            </c:numRef>
          </c:val>
          <c:smooth val="0"/>
        </c:ser>
        <c:dLbls>
          <c:showLegendKey val="0"/>
          <c:showVal val="0"/>
          <c:showCatName val="0"/>
          <c:showSerName val="0"/>
          <c:showPercent val="0"/>
          <c:showBubbleSize val="0"/>
        </c:dLbls>
        <c:marker val="1"/>
        <c:smooth val="0"/>
        <c:axId val="266135424"/>
        <c:axId val="266136960"/>
      </c:lineChart>
      <c:catAx>
        <c:axId val="266135424"/>
        <c:scaling>
          <c:orientation val="minMax"/>
        </c:scaling>
        <c:delete val="0"/>
        <c:axPos val="b"/>
        <c:numFmt formatCode="yyyy\-mm\-dd" sourceLinked="1"/>
        <c:majorTickMark val="out"/>
        <c:minorTickMark val="none"/>
        <c:tickLblPos val="nextTo"/>
        <c:crossAx val="266136960"/>
        <c:crosses val="autoZero"/>
        <c:auto val="0"/>
        <c:lblAlgn val="ctr"/>
        <c:lblOffset val="100"/>
        <c:tickLblSkip val="4"/>
        <c:noMultiLvlLbl val="0"/>
      </c:catAx>
      <c:valAx>
        <c:axId val="266136960"/>
        <c:scaling>
          <c:orientation val="minMax"/>
          <c:min val="4.0000000000000008E-2"/>
        </c:scaling>
        <c:delete val="0"/>
        <c:axPos val="l"/>
        <c:majorGridlines/>
        <c:numFmt formatCode="###,###,##0.0000" sourceLinked="1"/>
        <c:majorTickMark val="out"/>
        <c:minorTickMark val="none"/>
        <c:tickLblPos val="nextTo"/>
        <c:crossAx val="26613542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波动率锥!$C$924:$U$924</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波动率锥!$C$926:$U$926</c:f>
              <c:numCache>
                <c:formatCode>General</c:formatCode>
                <c:ptCount val="19"/>
                <c:pt idx="0">
                  <c:v>0.21821897023056469</c:v>
                </c:pt>
                <c:pt idx="1">
                  <c:v>0.22065185672308821</c:v>
                </c:pt>
                <c:pt idx="2">
                  <c:v>0.22289684720401332</c:v>
                </c:pt>
                <c:pt idx="3">
                  <c:v>0.225161535763199</c:v>
                </c:pt>
                <c:pt idx="4">
                  <c:v>0.22879132869242183</c:v>
                </c:pt>
                <c:pt idx="5">
                  <c:v>0.23202433141829146</c:v>
                </c:pt>
                <c:pt idx="6">
                  <c:v>0.23676993562852783</c:v>
                </c:pt>
                <c:pt idx="7">
                  <c:v>0.2334154674535304</c:v>
                </c:pt>
                <c:pt idx="8">
                  <c:v>0.22897151820339723</c:v>
                </c:pt>
                <c:pt idx="9">
                  <c:v>0.2262009015649771</c:v>
                </c:pt>
                <c:pt idx="10">
                  <c:v>0.22217726443433855</c:v>
                </c:pt>
                <c:pt idx="11">
                  <c:v>0.21919358626688579</c:v>
                </c:pt>
                <c:pt idx="12">
                  <c:v>0.21780726962753943</c:v>
                </c:pt>
                <c:pt idx="13">
                  <c:v>0.2163654511188326</c:v>
                </c:pt>
                <c:pt idx="14">
                  <c:v>0.21525912380860429</c:v>
                </c:pt>
                <c:pt idx="15">
                  <c:v>0.21453451516942665</c:v>
                </c:pt>
                <c:pt idx="16">
                  <c:v>0.22640943924251533</c:v>
                </c:pt>
                <c:pt idx="17">
                  <c:v>0.23699139602537114</c:v>
                </c:pt>
                <c:pt idx="18">
                  <c:v>0.24159947445679511</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波动率锥!$C$927:$U$927</c:f>
              <c:numCache>
                <c:formatCode>General</c:formatCode>
                <c:ptCount val="19"/>
                <c:pt idx="0">
                  <c:v>0.15371029429414107</c:v>
                </c:pt>
                <c:pt idx="1">
                  <c:v>0.1739678316681737</c:v>
                </c:pt>
                <c:pt idx="2">
                  <c:v>0.17708091172148571</c:v>
                </c:pt>
                <c:pt idx="3">
                  <c:v>0.1829139324695821</c:v>
                </c:pt>
                <c:pt idx="4">
                  <c:v>0.18597026439812686</c:v>
                </c:pt>
                <c:pt idx="5">
                  <c:v>0.18966510312808887</c:v>
                </c:pt>
                <c:pt idx="6">
                  <c:v>0.19481610921678244</c:v>
                </c:pt>
                <c:pt idx="7">
                  <c:v>0.19495368788928247</c:v>
                </c:pt>
                <c:pt idx="8">
                  <c:v>0.19152298572464813</c:v>
                </c:pt>
                <c:pt idx="9">
                  <c:v>0.19255019489220587</c:v>
                </c:pt>
                <c:pt idx="10">
                  <c:v>0.19762280737365684</c:v>
                </c:pt>
                <c:pt idx="11">
                  <c:v>0.1999017254713189</c:v>
                </c:pt>
                <c:pt idx="12">
                  <c:v>0.20283260909633463</c:v>
                </c:pt>
                <c:pt idx="13">
                  <c:v>0.20202697386217056</c:v>
                </c:pt>
                <c:pt idx="14">
                  <c:v>0.19911588982651257</c:v>
                </c:pt>
                <c:pt idx="15">
                  <c:v>0.1974531885327791</c:v>
                </c:pt>
                <c:pt idx="16">
                  <c:v>0.19567511779423943</c:v>
                </c:pt>
                <c:pt idx="17">
                  <c:v>0.19665700428683908</c:v>
                </c:pt>
                <c:pt idx="18">
                  <c:v>0.19719326443302893</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波动率锥!$C$930:$U$930</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波动率锥!$C$928:$U$928</c:f>
              <c:numCache>
                <c:formatCode>General</c:formatCode>
                <c:ptCount val="19"/>
                <c:pt idx="0">
                  <c:v>0.11175225571345124</c:v>
                </c:pt>
                <c:pt idx="1">
                  <c:v>0.12977526148497756</c:v>
                </c:pt>
                <c:pt idx="2">
                  <c:v>0.14629312881099674</c:v>
                </c:pt>
                <c:pt idx="3">
                  <c:v>0.14646997277968771</c:v>
                </c:pt>
                <c:pt idx="4">
                  <c:v>0.14894535848471116</c:v>
                </c:pt>
                <c:pt idx="5">
                  <c:v>0.15526479542325039</c:v>
                </c:pt>
                <c:pt idx="6">
                  <c:v>0.15898818022197442</c:v>
                </c:pt>
                <c:pt idx="7">
                  <c:v>0.16153618711428708</c:v>
                </c:pt>
                <c:pt idx="8">
                  <c:v>0.16742306055888889</c:v>
                </c:pt>
                <c:pt idx="9">
                  <c:v>0.17513899411947384</c:v>
                </c:pt>
                <c:pt idx="10">
                  <c:v>0.17446692700904187</c:v>
                </c:pt>
                <c:pt idx="11">
                  <c:v>0.17461112089549005</c:v>
                </c:pt>
                <c:pt idx="12">
                  <c:v>0.17525292837504605</c:v>
                </c:pt>
                <c:pt idx="13">
                  <c:v>0.17514307136761753</c:v>
                </c:pt>
                <c:pt idx="14">
                  <c:v>0.17525279971498797</c:v>
                </c:pt>
                <c:pt idx="15">
                  <c:v>0.17569194330079735</c:v>
                </c:pt>
                <c:pt idx="16">
                  <c:v>0.1759753811161093</c:v>
                </c:pt>
                <c:pt idx="17">
                  <c:v>0.17517962042079724</c:v>
                </c:pt>
                <c:pt idx="18">
                  <c:v>0.17571965963828401</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波动率锥!$C$916:$U$916</c:f>
              <c:numCache>
                <c:formatCode>###,###,##0.0000</c:formatCode>
                <c:ptCount val="19"/>
                <c:pt idx="0">
                  <c:v>0.15371029429414107</c:v>
                </c:pt>
                <c:pt idx="1">
                  <c:v>0.14553950148403208</c:v>
                </c:pt>
                <c:pt idx="2" formatCode="General">
                  <c:v>0.17427776251721042</c:v>
                </c:pt>
                <c:pt idx="3" formatCode="General">
                  <c:v>0.208853111979799</c:v>
                </c:pt>
                <c:pt idx="4" formatCode="General">
                  <c:v>0.21282108722254903</c:v>
                </c:pt>
                <c:pt idx="5" formatCode="General">
                  <c:v>0.19815876211152003</c:v>
                </c:pt>
                <c:pt idx="6" formatCode="General">
                  <c:v>0.19071544133178536</c:v>
                </c:pt>
                <c:pt idx="7" formatCode="General">
                  <c:v>0.1964664015206361</c:v>
                </c:pt>
                <c:pt idx="8" formatCode="General">
                  <c:v>0.20642287397525722</c:v>
                </c:pt>
                <c:pt idx="9" formatCode="General">
                  <c:v>0.20043947645265281</c:v>
                </c:pt>
                <c:pt idx="10" formatCode="General">
                  <c:v>0.19858119181020792</c:v>
                </c:pt>
                <c:pt idx="11" formatCode="General">
                  <c:v>0.20251698426782463</c:v>
                </c:pt>
                <c:pt idx="12" formatCode="General">
                  <c:v>0.20160081204829144</c:v>
                </c:pt>
                <c:pt idx="13" formatCode="General">
                  <c:v>0.21647738487574072</c:v>
                </c:pt>
                <c:pt idx="14" formatCode="General">
                  <c:v>0.21261824943094182</c:v>
                </c:pt>
                <c:pt idx="15" formatCode="General">
                  <c:v>0.21161388510220899</c:v>
                </c:pt>
                <c:pt idx="16" formatCode="General">
                  <c:v>0.21133702288888315</c:v>
                </c:pt>
                <c:pt idx="17" formatCode="General">
                  <c:v>0.20632021428547084</c:v>
                </c:pt>
                <c:pt idx="18" formatCode="General">
                  <c:v>0.20135436284422351</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268081792"/>
        <c:axId val="268088064"/>
      </c:lineChart>
      <c:catAx>
        <c:axId val="2680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8088064"/>
        <c:crosses val="autoZero"/>
        <c:auto val="1"/>
        <c:lblAlgn val="ctr"/>
        <c:lblOffset val="100"/>
        <c:noMultiLvlLbl val="0"/>
      </c:catAx>
      <c:valAx>
        <c:axId val="26808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8081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本周看跌平值</c:v>
          </c:tx>
          <c:spPr>
            <a:ln w="28575" cap="rnd">
              <a:solidFill>
                <a:schemeClr val="accent1"/>
              </a:solidFill>
              <a:round/>
            </a:ln>
            <a:effectLst/>
          </c:spPr>
          <c:marker>
            <c:symbol val="none"/>
          </c:marker>
          <c:cat>
            <c:numRef>
              <c:f>平值期权期限结构!$B$5:$I$5</c:f>
              <c:numCache>
                <c:formatCode>General</c:formatCode>
                <c:ptCount val="8"/>
                <c:pt idx="0">
                  <c:v>11</c:v>
                </c:pt>
                <c:pt idx="1">
                  <c:v>12</c:v>
                </c:pt>
                <c:pt idx="2">
                  <c:v>1</c:v>
                </c:pt>
                <c:pt idx="3">
                  <c:v>3</c:v>
                </c:pt>
                <c:pt idx="4">
                  <c:v>5</c:v>
                </c:pt>
                <c:pt idx="5">
                  <c:v>7</c:v>
                </c:pt>
                <c:pt idx="6">
                  <c:v>8</c:v>
                </c:pt>
                <c:pt idx="7">
                  <c:v>9</c:v>
                </c:pt>
              </c:numCache>
            </c:numRef>
          </c:cat>
          <c:val>
            <c:numRef>
              <c:f>平值期权期限结构!$B$4:$I$4</c:f>
              <c:numCache>
                <c:formatCode>General</c:formatCode>
                <c:ptCount val="8"/>
                <c:pt idx="0">
                  <c:v>0.22416075292661786</c:v>
                </c:pt>
                <c:pt idx="1">
                  <c:v>0.22682072275906801</c:v>
                </c:pt>
                <c:pt idx="2">
                  <c:v>0.21260516972839827</c:v>
                </c:pt>
                <c:pt idx="3">
                  <c:v>0.22962636597916486</c:v>
                </c:pt>
                <c:pt idx="4">
                  <c:v>0.16000955172035841</c:v>
                </c:pt>
                <c:pt idx="5">
                  <c:v>0.1571230401006341</c:v>
                </c:pt>
                <c:pt idx="6">
                  <c:v>0.17681778110776092</c:v>
                </c:pt>
                <c:pt idx="7">
                  <c:v>0.17306712350845338</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本周看涨平值</c:v>
          </c:tx>
          <c:spPr>
            <a:ln w="28575" cap="rnd">
              <a:solidFill>
                <a:schemeClr val="accent2"/>
              </a:solidFill>
              <a:round/>
            </a:ln>
            <a:effectLst/>
          </c:spPr>
          <c:marker>
            <c:symbol val="none"/>
          </c:marker>
          <c:cat>
            <c:numRef>
              <c:f>平值期权期限结构!$B$5:$I$5</c:f>
              <c:numCache>
                <c:formatCode>General</c:formatCode>
                <c:ptCount val="8"/>
                <c:pt idx="0">
                  <c:v>11</c:v>
                </c:pt>
                <c:pt idx="1">
                  <c:v>12</c:v>
                </c:pt>
                <c:pt idx="2">
                  <c:v>1</c:v>
                </c:pt>
                <c:pt idx="3">
                  <c:v>3</c:v>
                </c:pt>
                <c:pt idx="4">
                  <c:v>5</c:v>
                </c:pt>
                <c:pt idx="5">
                  <c:v>7</c:v>
                </c:pt>
                <c:pt idx="6">
                  <c:v>8</c:v>
                </c:pt>
                <c:pt idx="7">
                  <c:v>9</c:v>
                </c:pt>
              </c:numCache>
            </c:numRef>
          </c:cat>
          <c:val>
            <c:numRef>
              <c:f>平值期权期限结构!$B$2:$I$2</c:f>
              <c:numCache>
                <c:formatCode>General</c:formatCode>
                <c:ptCount val="8"/>
                <c:pt idx="0">
                  <c:v>0.18822967276781793</c:v>
                </c:pt>
                <c:pt idx="1">
                  <c:v>0.17388751978814601</c:v>
                </c:pt>
                <c:pt idx="2">
                  <c:v>0.22132074771471316</c:v>
                </c:pt>
                <c:pt idx="3">
                  <c:v>0.14935863065771759</c:v>
                </c:pt>
                <c:pt idx="4">
                  <c:v>0.1815113818300515</c:v>
                </c:pt>
                <c:pt idx="5">
                  <c:v>0.14349213266778738</c:v>
                </c:pt>
                <c:pt idx="6">
                  <c:v>0.17069914119962598</c:v>
                </c:pt>
                <c:pt idx="7">
                  <c:v>0.15179237162649631</c:v>
                </c:pt>
              </c:numCache>
            </c:numRef>
          </c:val>
          <c:smooth val="0"/>
          <c:extLst xmlns:c16r2="http://schemas.microsoft.com/office/drawing/2015/06/chart">
            <c:ext xmlns:c16="http://schemas.microsoft.com/office/drawing/2014/chart" uri="{C3380CC4-5D6E-409C-BE32-E72D297353CC}">
              <c16:uniqueId val="{00000001-F050-4F31-803B-76EAC02755A4}"/>
            </c:ext>
          </c:extLst>
        </c:ser>
        <c:ser>
          <c:idx val="2"/>
          <c:order val="2"/>
          <c:tx>
            <c:v>上周看涨平值</c:v>
          </c:tx>
          <c:spPr>
            <a:ln>
              <a:prstDash val="sysDash"/>
            </a:ln>
          </c:spPr>
          <c:marker>
            <c:symbol val="none"/>
          </c:marker>
          <c:cat>
            <c:numRef>
              <c:f>平值期权期限结构!$B$5:$I$5</c:f>
              <c:numCache>
                <c:formatCode>General</c:formatCode>
                <c:ptCount val="8"/>
                <c:pt idx="0">
                  <c:v>11</c:v>
                </c:pt>
                <c:pt idx="1">
                  <c:v>12</c:v>
                </c:pt>
                <c:pt idx="2">
                  <c:v>1</c:v>
                </c:pt>
                <c:pt idx="3">
                  <c:v>3</c:v>
                </c:pt>
                <c:pt idx="4">
                  <c:v>5</c:v>
                </c:pt>
                <c:pt idx="5">
                  <c:v>7</c:v>
                </c:pt>
                <c:pt idx="6">
                  <c:v>8</c:v>
                </c:pt>
                <c:pt idx="7">
                  <c:v>9</c:v>
                </c:pt>
              </c:numCache>
            </c:numRef>
          </c:cat>
          <c:val>
            <c:numRef>
              <c:f>平值期权期限结构!$B$9:$I$9</c:f>
              <c:numCache>
                <c:formatCode>General</c:formatCode>
                <c:ptCount val="8"/>
                <c:pt idx="0">
                  <c:v>0.13895433809742333</c:v>
                </c:pt>
                <c:pt idx="1">
                  <c:v>0.13587296447992331</c:v>
                </c:pt>
                <c:pt idx="2">
                  <c:v>0.18720149521589274</c:v>
                </c:pt>
                <c:pt idx="3">
                  <c:v>0.19154004685804243</c:v>
                </c:pt>
                <c:pt idx="4">
                  <c:v>0.16787455865100026</c:v>
                </c:pt>
                <c:pt idx="5">
                  <c:v>0.15355937670566139</c:v>
                </c:pt>
                <c:pt idx="6">
                  <c:v>0.15390511258333917</c:v>
                </c:pt>
                <c:pt idx="7">
                  <c:v>0.15390511258333917</c:v>
                </c:pt>
              </c:numCache>
            </c:numRef>
          </c:val>
          <c:smooth val="0"/>
        </c:ser>
        <c:ser>
          <c:idx val="3"/>
          <c:order val="3"/>
          <c:tx>
            <c:v>上周看跌平值</c:v>
          </c:tx>
          <c:spPr>
            <a:ln>
              <a:prstDash val="sysDash"/>
            </a:ln>
          </c:spPr>
          <c:marker>
            <c:symbol val="none"/>
          </c:marker>
          <c:cat>
            <c:numRef>
              <c:f>平值期权期限结构!$B$5:$I$5</c:f>
              <c:numCache>
                <c:formatCode>General</c:formatCode>
                <c:ptCount val="8"/>
                <c:pt idx="0">
                  <c:v>11</c:v>
                </c:pt>
                <c:pt idx="1">
                  <c:v>12</c:v>
                </c:pt>
                <c:pt idx="2">
                  <c:v>1</c:v>
                </c:pt>
                <c:pt idx="3">
                  <c:v>3</c:v>
                </c:pt>
                <c:pt idx="4">
                  <c:v>5</c:v>
                </c:pt>
                <c:pt idx="5">
                  <c:v>7</c:v>
                </c:pt>
                <c:pt idx="6">
                  <c:v>8</c:v>
                </c:pt>
                <c:pt idx="7">
                  <c:v>9</c:v>
                </c:pt>
              </c:numCache>
            </c:numRef>
          </c:cat>
          <c:val>
            <c:numRef>
              <c:f>平值期权期限结构!$B$11:$I$11</c:f>
              <c:numCache>
                <c:formatCode>General</c:formatCode>
                <c:ptCount val="8"/>
                <c:pt idx="0">
                  <c:v>0.13746804039105773</c:v>
                </c:pt>
                <c:pt idx="1">
                  <c:v>0.18707277930729088</c:v>
                </c:pt>
                <c:pt idx="2">
                  <c:v>0.18207142567224804</c:v>
                </c:pt>
                <c:pt idx="3">
                  <c:v>0.18874921535514294</c:v>
                </c:pt>
                <c:pt idx="4">
                  <c:v>0.14669466732405129</c:v>
                </c:pt>
                <c:pt idx="5">
                  <c:v>0.15149250140830878</c:v>
                </c:pt>
                <c:pt idx="6">
                  <c:v>0.1505948278998584</c:v>
                </c:pt>
                <c:pt idx="7">
                  <c:v>0.1505948278998584</c:v>
                </c:pt>
              </c:numCache>
            </c:numRef>
          </c:val>
          <c:smooth val="0"/>
        </c:ser>
        <c:dLbls>
          <c:showLegendKey val="0"/>
          <c:showVal val="0"/>
          <c:showCatName val="0"/>
          <c:showSerName val="0"/>
          <c:showPercent val="0"/>
          <c:showBubbleSize val="0"/>
        </c:dLbls>
        <c:marker val="1"/>
        <c:smooth val="0"/>
        <c:axId val="268162944"/>
        <c:axId val="268164480"/>
      </c:lineChart>
      <c:catAx>
        <c:axId val="26816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8164480"/>
        <c:crosses val="autoZero"/>
        <c:auto val="1"/>
        <c:lblAlgn val="ctr"/>
        <c:lblOffset val="100"/>
        <c:noMultiLvlLbl val="0"/>
      </c:catAx>
      <c:valAx>
        <c:axId val="268164480"/>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8162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1901</a:t>
            </a:r>
            <a:r>
              <a:rPr lang="zh-CN" altLang="en-US"/>
              <a:t>合约隐含波动率偏度</a:t>
            </a:r>
          </a:p>
        </c:rich>
      </c:tx>
      <c:overlay val="0"/>
      <c:spPr>
        <a:noFill/>
        <a:ln>
          <a:noFill/>
        </a:ln>
        <a:effectLst/>
      </c:spPr>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本周看涨</c:v>
          </c:tx>
          <c:spPr>
            <a:ln w="28575" cap="rnd">
              <a:solidFill>
                <a:schemeClr val="accent1"/>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波动率偏度!$B$4:$Z$4</c:f>
              <c:numCache>
                <c:formatCode>General</c:formatCode>
                <c:ptCount val="25"/>
                <c:pt idx="1">
                  <c:v>0.39149042083263397</c:v>
                </c:pt>
                <c:pt idx="2">
                  <c:v>0.37</c:v>
                </c:pt>
                <c:pt idx="3">
                  <c:v>0.35119730486035355</c:v>
                </c:pt>
                <c:pt idx="4">
                  <c:v>0.28094303542047733</c:v>
                </c:pt>
                <c:pt idx="5">
                  <c:v>0.30482858342587948</c:v>
                </c:pt>
                <c:pt idx="6">
                  <c:v>0.23925314769446845</c:v>
                </c:pt>
                <c:pt idx="7">
                  <c:v>0.30045045439854257</c:v>
                </c:pt>
                <c:pt idx="8">
                  <c:v>0.23532890690237285</c:v>
                </c:pt>
                <c:pt idx="9">
                  <c:v>0.23384934450402858</c:v>
                </c:pt>
                <c:pt idx="10">
                  <c:v>0.26439390677616004</c:v>
                </c:pt>
                <c:pt idx="11">
                  <c:v>0.2479924780723452</c:v>
                </c:pt>
                <c:pt idx="12">
                  <c:v>0.22509707995057104</c:v>
                </c:pt>
                <c:pt idx="13">
                  <c:v>0.2221882613483071</c:v>
                </c:pt>
                <c:pt idx="14">
                  <c:v>0.21597443306043745</c:v>
                </c:pt>
                <c:pt idx="15">
                  <c:v>0.21597955904707311</c:v>
                </c:pt>
                <c:pt idx="16">
                  <c:v>0.21572463061869143</c:v>
                </c:pt>
                <c:pt idx="17">
                  <c:v>0.22132074771471316</c:v>
                </c:pt>
                <c:pt idx="18">
                  <c:v>0.22439341907583171</c:v>
                </c:pt>
                <c:pt idx="19">
                  <c:v>0.22297250750131903</c:v>
                </c:pt>
                <c:pt idx="20">
                  <c:v>0.22313618144668634</c:v>
                </c:pt>
                <c:pt idx="21">
                  <c:v>0.22238468796409661</c:v>
                </c:pt>
                <c:pt idx="22">
                  <c:v>0.22672970669403672</c:v>
                </c:pt>
                <c:pt idx="23">
                  <c:v>0.22672970669403672</c:v>
                </c:pt>
                <c:pt idx="24">
                  <c:v>0.20220949001774188</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本周看跌</c:v>
          </c:tx>
          <c:spPr>
            <a:ln w="28575" cap="rnd">
              <a:solidFill>
                <a:schemeClr val="accent2"/>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波动率偏度!$B$5:$Z$5</c:f>
              <c:numCache>
                <c:formatCode>General</c:formatCode>
                <c:ptCount val="25"/>
                <c:pt idx="0">
                  <c:v>0.31242052726030345</c:v>
                </c:pt>
                <c:pt idx="1">
                  <c:v>0.30275696957111353</c:v>
                </c:pt>
                <c:pt idx="2">
                  <c:v>0.29328176208853712</c:v>
                </c:pt>
                <c:pt idx="3">
                  <c:v>0.2863776541352272</c:v>
                </c:pt>
                <c:pt idx="4">
                  <c:v>0.2874677011537552</c:v>
                </c:pt>
                <c:pt idx="5">
                  <c:v>0.27525426313579071</c:v>
                </c:pt>
                <c:pt idx="6">
                  <c:v>0.27192487521141762</c:v>
                </c:pt>
                <c:pt idx="7">
                  <c:v>0.26783326499521731</c:v>
                </c:pt>
                <c:pt idx="8">
                  <c:v>0.2609766022205352</c:v>
                </c:pt>
                <c:pt idx="9">
                  <c:v>0.25289685519278049</c:v>
                </c:pt>
                <c:pt idx="10">
                  <c:v>0.24174074132516976</c:v>
                </c:pt>
                <c:pt idx="11">
                  <c:v>0.23389422668933868</c:v>
                </c:pt>
                <c:pt idx="12">
                  <c:v>0.2276183501213789</c:v>
                </c:pt>
                <c:pt idx="13">
                  <c:v>0.22131249249204987</c:v>
                </c:pt>
                <c:pt idx="14">
                  <c:v>0.21755687281846997</c:v>
                </c:pt>
                <c:pt idx="15">
                  <c:v>0.21506856393381951</c:v>
                </c:pt>
                <c:pt idx="16">
                  <c:v>0.21160822493225331</c:v>
                </c:pt>
                <c:pt idx="17">
                  <c:v>0.21260516972839827</c:v>
                </c:pt>
                <c:pt idx="18">
                  <c:v>0.21525399352014066</c:v>
                </c:pt>
                <c:pt idx="19">
                  <c:v>0.22095257074438035</c:v>
                </c:pt>
                <c:pt idx="20">
                  <c:v>0.2241261227145791</c:v>
                </c:pt>
                <c:pt idx="21">
                  <c:v>0.21158390629798168</c:v>
                </c:pt>
                <c:pt idx="22">
                  <c:v>0.21924934247568245</c:v>
                </c:pt>
                <c:pt idx="23">
                  <c:v>0.21924934247568245</c:v>
                </c:pt>
                <c:pt idx="24">
                  <c:v>0.21355615945830939</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val>
            <c:numRef>
              <c:f>波动率偏度!$B$12:$Z$12</c:f>
              <c:numCache>
                <c:formatCode>General</c:formatCode>
                <c:ptCount val="25"/>
                <c:pt idx="0">
                  <c:v>0.31140272089064125</c:v>
                </c:pt>
                <c:pt idx="1">
                  <c:v>0.24188313646554943</c:v>
                </c:pt>
                <c:pt idx="2">
                  <c:v>0.23</c:v>
                </c:pt>
                <c:pt idx="3">
                  <c:v>0.22500000000000001</c:v>
                </c:pt>
                <c:pt idx="4">
                  <c:v>0.19825169189453123</c:v>
                </c:pt>
                <c:pt idx="5">
                  <c:v>0.23866735471010206</c:v>
                </c:pt>
                <c:pt idx="6">
                  <c:v>0.20660943429052828</c:v>
                </c:pt>
                <c:pt idx="7">
                  <c:v>0.22092339434370395</c:v>
                </c:pt>
                <c:pt idx="8">
                  <c:v>0.19618580007135863</c:v>
                </c:pt>
                <c:pt idx="9">
                  <c:v>0.20713103323295706</c:v>
                </c:pt>
                <c:pt idx="10">
                  <c:v>0.19281695397078988</c:v>
                </c:pt>
                <c:pt idx="11">
                  <c:v>0.19416252546265717</c:v>
                </c:pt>
                <c:pt idx="12">
                  <c:v>0.19028826304025948</c:v>
                </c:pt>
                <c:pt idx="13">
                  <c:v>0.18873896338187157</c:v>
                </c:pt>
                <c:pt idx="14">
                  <c:v>0.18720149521589274</c:v>
                </c:pt>
                <c:pt idx="15">
                  <c:v>0.18898614322580398</c:v>
                </c:pt>
                <c:pt idx="16">
                  <c:v>0.19033913547739384</c:v>
                </c:pt>
                <c:pt idx="17">
                  <c:v>0.19170330357193943</c:v>
                </c:pt>
                <c:pt idx="18">
                  <c:v>0.19286144872687755</c:v>
                </c:pt>
                <c:pt idx="19">
                  <c:v>0.19589725470736619</c:v>
                </c:pt>
                <c:pt idx="20">
                  <c:v>0.19852158105134962</c:v>
                </c:pt>
                <c:pt idx="21">
                  <c:v>0.20079757872208945</c:v>
                </c:pt>
                <c:pt idx="22">
                  <c:v>0.20312596874460573</c:v>
                </c:pt>
                <c:pt idx="23">
                  <c:v>0.20312596874460573</c:v>
                </c:pt>
                <c:pt idx="24">
                  <c:v>0.21031653590455648</c:v>
                </c:pt>
              </c:numCache>
            </c:numRef>
          </c:val>
          <c:smooth val="0"/>
        </c:ser>
        <c:ser>
          <c:idx val="3"/>
          <c:order val="3"/>
          <c:tx>
            <c:v>上周看跌</c:v>
          </c:tx>
          <c:marker>
            <c:symbol val="none"/>
          </c:marker>
          <c:val>
            <c:numRef>
              <c:f>波动率偏度!$B$13:$Z$13</c:f>
              <c:numCache>
                <c:formatCode>General</c:formatCode>
                <c:ptCount val="25"/>
                <c:pt idx="0">
                  <c:v>0.27523495127916331</c:v>
                </c:pt>
                <c:pt idx="1">
                  <c:v>0.26187472276270385</c:v>
                </c:pt>
                <c:pt idx="2">
                  <c:v>0.24877460826575751</c:v>
                </c:pt>
                <c:pt idx="3">
                  <c:v>0.24504432050287725</c:v>
                </c:pt>
                <c:pt idx="4">
                  <c:v>0.24365434366166591</c:v>
                </c:pt>
                <c:pt idx="5">
                  <c:v>0.2338183501662314</c:v>
                </c:pt>
                <c:pt idx="6">
                  <c:v>0.22620977667748923</c:v>
                </c:pt>
                <c:pt idx="7">
                  <c:v>0.21961680419206614</c:v>
                </c:pt>
                <c:pt idx="8">
                  <c:v>0.21180569462671869</c:v>
                </c:pt>
                <c:pt idx="9">
                  <c:v>0.20293928746387357</c:v>
                </c:pt>
                <c:pt idx="10">
                  <c:v>0.19309512815251942</c:v>
                </c:pt>
                <c:pt idx="11">
                  <c:v>0.18785040936127304</c:v>
                </c:pt>
                <c:pt idx="12">
                  <c:v>0.185825257210955</c:v>
                </c:pt>
                <c:pt idx="13">
                  <c:v>0.18315446916252373</c:v>
                </c:pt>
                <c:pt idx="14">
                  <c:v>0.18207142567224804</c:v>
                </c:pt>
                <c:pt idx="15">
                  <c:v>0.19199903127767143</c:v>
                </c:pt>
                <c:pt idx="16">
                  <c:v>0.19033293660983441</c:v>
                </c:pt>
                <c:pt idx="17">
                  <c:v>0.19591549368306987</c:v>
                </c:pt>
                <c:pt idx="18">
                  <c:v>0.19695010852053757</c:v>
                </c:pt>
                <c:pt idx="19">
                  <c:v>0.20112069469362492</c:v>
                </c:pt>
                <c:pt idx="20">
                  <c:v>0.20538351882390676</c:v>
                </c:pt>
                <c:pt idx="21">
                  <c:v>0.20959120879560703</c:v>
                </c:pt>
                <c:pt idx="22">
                  <c:v>0.21469794317916033</c:v>
                </c:pt>
                <c:pt idx="23">
                  <c:v>0.21469794317916033</c:v>
                </c:pt>
                <c:pt idx="24">
                  <c:v>0.21088957352682941</c:v>
                </c:pt>
              </c:numCache>
            </c:numRef>
          </c:val>
          <c:smooth val="0"/>
        </c:ser>
        <c:dLbls>
          <c:showLegendKey val="0"/>
          <c:showVal val="0"/>
          <c:showCatName val="0"/>
          <c:showSerName val="0"/>
          <c:showPercent val="0"/>
          <c:showBubbleSize val="0"/>
        </c:dLbls>
        <c:marker val="1"/>
        <c:smooth val="0"/>
        <c:axId val="268324864"/>
        <c:axId val="268326400"/>
      </c:lineChart>
      <c:catAx>
        <c:axId val="2683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8326400"/>
        <c:crosses val="autoZero"/>
        <c:auto val="1"/>
        <c:lblAlgn val="ctr"/>
        <c:lblOffset val="100"/>
        <c:noMultiLvlLbl val="0"/>
      </c:catAx>
      <c:valAx>
        <c:axId val="26832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683248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万得!$A$2:$A$355</c:f>
              <c:numCache>
                <c:formatCode>yyyy\-mm\-dd</c:formatCode>
                <c:ptCount val="35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pt idx="344">
                  <c:v>43353</c:v>
                </c:pt>
                <c:pt idx="345">
                  <c:v>43354</c:v>
                </c:pt>
                <c:pt idx="346">
                  <c:v>43355</c:v>
                </c:pt>
                <c:pt idx="347">
                  <c:v>43356</c:v>
                </c:pt>
                <c:pt idx="348">
                  <c:v>43357</c:v>
                </c:pt>
                <c:pt idx="349">
                  <c:v>43360</c:v>
                </c:pt>
                <c:pt idx="350">
                  <c:v>43361</c:v>
                </c:pt>
                <c:pt idx="351">
                  <c:v>43362</c:v>
                </c:pt>
                <c:pt idx="352">
                  <c:v>43363</c:v>
                </c:pt>
                <c:pt idx="353">
                  <c:v>43364</c:v>
                </c:pt>
              </c:numCache>
            </c:numRef>
          </c:cat>
          <c:val>
            <c:numRef>
              <c:f>万得!$H$2:$H$355</c:f>
              <c:numCache>
                <c:formatCode>#,##0</c:formatCode>
                <c:ptCount val="354"/>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pt idx="314">
                  <c:v>150626</c:v>
                </c:pt>
                <c:pt idx="315">
                  <c:v>156326</c:v>
                </c:pt>
                <c:pt idx="316">
                  <c:v>167108</c:v>
                </c:pt>
                <c:pt idx="317">
                  <c:v>170480</c:v>
                </c:pt>
                <c:pt idx="318">
                  <c:v>175844</c:v>
                </c:pt>
                <c:pt idx="319">
                  <c:v>185014</c:v>
                </c:pt>
                <c:pt idx="320">
                  <c:v>186512</c:v>
                </c:pt>
                <c:pt idx="321">
                  <c:v>188374</c:v>
                </c:pt>
                <c:pt idx="322">
                  <c:v>191126</c:v>
                </c:pt>
                <c:pt idx="323">
                  <c:v>193970</c:v>
                </c:pt>
                <c:pt idx="324">
                  <c:v>193622</c:v>
                </c:pt>
                <c:pt idx="325">
                  <c:v>197252</c:v>
                </c:pt>
                <c:pt idx="326">
                  <c:v>203118</c:v>
                </c:pt>
                <c:pt idx="327">
                  <c:v>207736</c:v>
                </c:pt>
                <c:pt idx="328">
                  <c:v>209912</c:v>
                </c:pt>
                <c:pt idx="329">
                  <c:v>210166</c:v>
                </c:pt>
                <c:pt idx="330">
                  <c:v>212182</c:v>
                </c:pt>
                <c:pt idx="331">
                  <c:v>214004</c:v>
                </c:pt>
                <c:pt idx="332">
                  <c:v>212976</c:v>
                </c:pt>
                <c:pt idx="333">
                  <c:v>216024</c:v>
                </c:pt>
                <c:pt idx="334">
                  <c:v>220544</c:v>
                </c:pt>
                <c:pt idx="335">
                  <c:v>223810</c:v>
                </c:pt>
                <c:pt idx="336">
                  <c:v>223092</c:v>
                </c:pt>
                <c:pt idx="337">
                  <c:v>226410</c:v>
                </c:pt>
                <c:pt idx="338">
                  <c:v>230958</c:v>
                </c:pt>
                <c:pt idx="339">
                  <c:v>236172</c:v>
                </c:pt>
                <c:pt idx="340">
                  <c:v>237478</c:v>
                </c:pt>
                <c:pt idx="341">
                  <c:v>241248</c:v>
                </c:pt>
                <c:pt idx="342">
                  <c:v>249526</c:v>
                </c:pt>
                <c:pt idx="343">
                  <c:v>252998</c:v>
                </c:pt>
                <c:pt idx="344">
                  <c:v>257690</c:v>
                </c:pt>
                <c:pt idx="345">
                  <c:v>257656</c:v>
                </c:pt>
                <c:pt idx="346">
                  <c:v>259206</c:v>
                </c:pt>
                <c:pt idx="347">
                  <c:v>260396</c:v>
                </c:pt>
                <c:pt idx="348">
                  <c:v>261374</c:v>
                </c:pt>
                <c:pt idx="349">
                  <c:v>264682</c:v>
                </c:pt>
                <c:pt idx="350">
                  <c:v>267174</c:v>
                </c:pt>
                <c:pt idx="351">
                  <c:v>269340</c:v>
                </c:pt>
                <c:pt idx="352">
                  <c:v>269060</c:v>
                </c:pt>
                <c:pt idx="353">
                  <c:v>253022</c:v>
                </c:pt>
              </c:numCache>
            </c:numRef>
          </c:val>
        </c:ser>
        <c:dLbls>
          <c:showLegendKey val="0"/>
          <c:showVal val="0"/>
          <c:showCatName val="0"/>
          <c:showSerName val="0"/>
          <c:showPercent val="0"/>
          <c:showBubbleSize val="0"/>
        </c:dLbls>
        <c:gapWidth val="150"/>
        <c:axId val="266051968"/>
        <c:axId val="266053504"/>
      </c:barChart>
      <c:lineChart>
        <c:grouping val="standard"/>
        <c:varyColors val="0"/>
        <c:ser>
          <c:idx val="0"/>
          <c:order val="0"/>
          <c:tx>
            <c:strRef>
              <c:f>万得!$C$1</c:f>
              <c:strCache>
                <c:ptCount val="1"/>
                <c:pt idx="0">
                  <c:v>日成交量(张)（右）</c:v>
                </c:pt>
              </c:strCache>
            </c:strRef>
          </c:tx>
          <c:marker>
            <c:symbol val="none"/>
          </c:marker>
          <c:cat>
            <c:numRef>
              <c:f>万得!$A$2:$A$355</c:f>
              <c:numCache>
                <c:formatCode>yyyy\-mm\-dd</c:formatCode>
                <c:ptCount val="35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pt idx="344">
                  <c:v>43353</c:v>
                </c:pt>
                <c:pt idx="345">
                  <c:v>43354</c:v>
                </c:pt>
                <c:pt idx="346">
                  <c:v>43355</c:v>
                </c:pt>
                <c:pt idx="347">
                  <c:v>43356</c:v>
                </c:pt>
                <c:pt idx="348">
                  <c:v>43357</c:v>
                </c:pt>
                <c:pt idx="349">
                  <c:v>43360</c:v>
                </c:pt>
                <c:pt idx="350">
                  <c:v>43361</c:v>
                </c:pt>
                <c:pt idx="351">
                  <c:v>43362</c:v>
                </c:pt>
                <c:pt idx="352">
                  <c:v>43363</c:v>
                </c:pt>
                <c:pt idx="353">
                  <c:v>43364</c:v>
                </c:pt>
              </c:numCache>
            </c:numRef>
          </c:cat>
          <c:val>
            <c:numRef>
              <c:f>万得!$C$2:$C$355</c:f>
              <c:numCache>
                <c:formatCode>#,##0</c:formatCode>
                <c:ptCount val="354"/>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pt idx="314">
                  <c:v>75008</c:v>
                </c:pt>
                <c:pt idx="315">
                  <c:v>31926</c:v>
                </c:pt>
                <c:pt idx="316">
                  <c:v>57226</c:v>
                </c:pt>
                <c:pt idx="317">
                  <c:v>35288</c:v>
                </c:pt>
                <c:pt idx="318">
                  <c:v>36014</c:v>
                </c:pt>
                <c:pt idx="319">
                  <c:v>48630</c:v>
                </c:pt>
                <c:pt idx="320">
                  <c:v>22706</c:v>
                </c:pt>
                <c:pt idx="321">
                  <c:v>20546</c:v>
                </c:pt>
                <c:pt idx="322">
                  <c:v>20994</c:v>
                </c:pt>
                <c:pt idx="323">
                  <c:v>21236</c:v>
                </c:pt>
                <c:pt idx="324">
                  <c:v>15738</c:v>
                </c:pt>
                <c:pt idx="325">
                  <c:v>25684</c:v>
                </c:pt>
                <c:pt idx="326">
                  <c:v>46902</c:v>
                </c:pt>
                <c:pt idx="327">
                  <c:v>80606</c:v>
                </c:pt>
                <c:pt idx="328">
                  <c:v>36274</c:v>
                </c:pt>
                <c:pt idx="329">
                  <c:v>30942</c:v>
                </c:pt>
                <c:pt idx="330">
                  <c:v>18060</c:v>
                </c:pt>
                <c:pt idx="331">
                  <c:v>26520</c:v>
                </c:pt>
                <c:pt idx="332">
                  <c:v>23716</c:v>
                </c:pt>
                <c:pt idx="333">
                  <c:v>55054</c:v>
                </c:pt>
                <c:pt idx="334">
                  <c:v>35722</c:v>
                </c:pt>
                <c:pt idx="335">
                  <c:v>27822</c:v>
                </c:pt>
                <c:pt idx="336">
                  <c:v>50408</c:v>
                </c:pt>
                <c:pt idx="337">
                  <c:v>35456</c:v>
                </c:pt>
                <c:pt idx="338">
                  <c:v>28764</c:v>
                </c:pt>
                <c:pt idx="339">
                  <c:v>36588</c:v>
                </c:pt>
                <c:pt idx="340">
                  <c:v>31270</c:v>
                </c:pt>
                <c:pt idx="341">
                  <c:v>23328</c:v>
                </c:pt>
                <c:pt idx="342">
                  <c:v>46520</c:v>
                </c:pt>
                <c:pt idx="343">
                  <c:v>25938</c:v>
                </c:pt>
                <c:pt idx="344">
                  <c:v>44176</c:v>
                </c:pt>
                <c:pt idx="345">
                  <c:v>34742</c:v>
                </c:pt>
                <c:pt idx="346">
                  <c:v>25476</c:v>
                </c:pt>
                <c:pt idx="347">
                  <c:v>38938</c:v>
                </c:pt>
                <c:pt idx="348">
                  <c:v>38646</c:v>
                </c:pt>
                <c:pt idx="349">
                  <c:v>63888</c:v>
                </c:pt>
                <c:pt idx="350">
                  <c:v>24272</c:v>
                </c:pt>
                <c:pt idx="351">
                  <c:v>35312</c:v>
                </c:pt>
                <c:pt idx="352">
                  <c:v>28856</c:v>
                </c:pt>
                <c:pt idx="353">
                  <c:v>14018</c:v>
                </c:pt>
              </c:numCache>
            </c:numRef>
          </c:val>
          <c:smooth val="0"/>
        </c:ser>
        <c:dLbls>
          <c:showLegendKey val="0"/>
          <c:showVal val="0"/>
          <c:showCatName val="0"/>
          <c:showSerName val="0"/>
          <c:showPercent val="0"/>
          <c:showBubbleSize val="0"/>
        </c:dLbls>
        <c:marker val="1"/>
        <c:smooth val="0"/>
        <c:axId val="266060928"/>
        <c:axId val="266055040"/>
      </c:lineChart>
      <c:catAx>
        <c:axId val="266051968"/>
        <c:scaling>
          <c:orientation val="minMax"/>
        </c:scaling>
        <c:delete val="0"/>
        <c:axPos val="b"/>
        <c:numFmt formatCode="yyyy\-mm\-dd" sourceLinked="1"/>
        <c:majorTickMark val="out"/>
        <c:minorTickMark val="none"/>
        <c:tickLblPos val="nextTo"/>
        <c:crossAx val="266053504"/>
        <c:crosses val="autoZero"/>
        <c:auto val="0"/>
        <c:lblAlgn val="ctr"/>
        <c:lblOffset val="100"/>
        <c:tickLblSkip val="7"/>
        <c:noMultiLvlLbl val="0"/>
      </c:catAx>
      <c:valAx>
        <c:axId val="266053504"/>
        <c:scaling>
          <c:orientation val="minMax"/>
        </c:scaling>
        <c:delete val="0"/>
        <c:axPos val="l"/>
        <c:majorGridlines/>
        <c:numFmt formatCode="#,##0" sourceLinked="1"/>
        <c:majorTickMark val="out"/>
        <c:minorTickMark val="none"/>
        <c:tickLblPos val="nextTo"/>
        <c:crossAx val="266051968"/>
        <c:crosses val="autoZero"/>
        <c:crossBetween val="between"/>
      </c:valAx>
      <c:valAx>
        <c:axId val="266055040"/>
        <c:scaling>
          <c:orientation val="minMax"/>
        </c:scaling>
        <c:delete val="0"/>
        <c:axPos val="r"/>
        <c:numFmt formatCode="#,##0" sourceLinked="1"/>
        <c:majorTickMark val="out"/>
        <c:minorTickMark val="none"/>
        <c:tickLblPos val="nextTo"/>
        <c:crossAx val="266060928"/>
        <c:crosses val="max"/>
        <c:crossBetween val="between"/>
      </c:valAx>
      <c:dateAx>
        <c:axId val="266060928"/>
        <c:scaling>
          <c:orientation val="minMax"/>
        </c:scaling>
        <c:delete val="1"/>
        <c:axPos val="b"/>
        <c:numFmt formatCode="yyyy\-mm\-dd" sourceLinked="1"/>
        <c:majorTickMark val="out"/>
        <c:minorTickMark val="none"/>
        <c:tickLblPos val="nextTo"/>
        <c:crossAx val="266055040"/>
        <c:crosses val="autoZero"/>
        <c:auto val="1"/>
        <c:lblOffset val="100"/>
        <c:baseTimeUnit val="days"/>
      </c:dateAx>
    </c:plotArea>
    <c:legend>
      <c:legendPos val="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总PCR!$B$1:$GB$1</c:f>
              <c:numCache>
                <c:formatCode>yyyy\-mm\-dd</c:formatCode>
                <c:ptCount val="18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numCache>
            </c:numRef>
          </c:cat>
          <c:val>
            <c:numRef>
              <c:f>总PCR!$B$4:$GB$4</c:f>
              <c:numCache>
                <c:formatCode>General</c:formatCode>
                <c:ptCount val="183"/>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pt idx="100">
                  <c:v>0.34143714417602711</c:v>
                </c:pt>
                <c:pt idx="101">
                  <c:v>0.31966890027591643</c:v>
                </c:pt>
                <c:pt idx="102">
                  <c:v>1.1576673866090712</c:v>
                </c:pt>
                <c:pt idx="103">
                  <c:v>0.96195816914216425</c:v>
                </c:pt>
                <c:pt idx="104">
                  <c:v>0.86613724292404803</c:v>
                </c:pt>
                <c:pt idx="105">
                  <c:v>0.45658056580565803</c:v>
                </c:pt>
                <c:pt idx="106">
                  <c:v>0.55318574514038876</c:v>
                </c:pt>
                <c:pt idx="107">
                  <c:v>0.66284020069940708</c:v>
                </c:pt>
                <c:pt idx="108">
                  <c:v>0.77831793874574629</c:v>
                </c:pt>
                <c:pt idx="109">
                  <c:v>0.63515415120890362</c:v>
                </c:pt>
                <c:pt idx="110">
                  <c:v>0.7696328484161471</c:v>
                </c:pt>
                <c:pt idx="111">
                  <c:v>0.48398154251812786</c:v>
                </c:pt>
                <c:pt idx="112">
                  <c:v>0.50381488430268917</c:v>
                </c:pt>
                <c:pt idx="113">
                  <c:v>0.64659011014764467</c:v>
                </c:pt>
                <c:pt idx="114">
                  <c:v>0.44463601532567049</c:v>
                </c:pt>
                <c:pt idx="115">
                  <c:v>0.5248122755468495</c:v>
                </c:pt>
                <c:pt idx="116">
                  <c:v>0.56467921896792195</c:v>
                </c:pt>
                <c:pt idx="117">
                  <c:v>0.5481357818586533</c:v>
                </c:pt>
                <c:pt idx="118">
                  <c:v>0.41893460595898363</c:v>
                </c:pt>
                <c:pt idx="119">
                  <c:v>0.64349700598802395</c:v>
                </c:pt>
                <c:pt idx="120">
                  <c:v>0.43879821958456972</c:v>
                </c:pt>
                <c:pt idx="121">
                  <c:v>0.5358551092695315</c:v>
                </c:pt>
                <c:pt idx="122">
                  <c:v>0.68320856675425112</c:v>
                </c:pt>
                <c:pt idx="123">
                  <c:v>0.88121265523033288</c:v>
                </c:pt>
                <c:pt idx="124">
                  <c:v>1.0341343725193044</c:v>
                </c:pt>
                <c:pt idx="125">
                  <c:v>0.81711967545638942</c:v>
                </c:pt>
                <c:pt idx="126">
                  <c:v>0.97548881501098772</c:v>
                </c:pt>
                <c:pt idx="127">
                  <c:v>0.8928136419001218</c:v>
                </c:pt>
                <c:pt idx="128">
                  <c:v>0.92271821442805901</c:v>
                </c:pt>
                <c:pt idx="129">
                  <c:v>0.81406601002246415</c:v>
                </c:pt>
                <c:pt idx="130">
                  <c:v>0.61646770737679824</c:v>
                </c:pt>
                <c:pt idx="131">
                  <c:v>0.49317437204222786</c:v>
                </c:pt>
                <c:pt idx="132">
                  <c:v>0.36199667747804765</c:v>
                </c:pt>
                <c:pt idx="133">
                  <c:v>0.60120609749288068</c:v>
                </c:pt>
                <c:pt idx="134">
                  <c:v>1.0791431121689974</c:v>
                </c:pt>
                <c:pt idx="135">
                  <c:v>0.63025271818983253</c:v>
                </c:pt>
                <c:pt idx="136">
                  <c:v>0.67289824877526883</c:v>
                </c:pt>
                <c:pt idx="137">
                  <c:v>0.23341326938449242</c:v>
                </c:pt>
                <c:pt idx="138">
                  <c:v>0.23533138015678201</c:v>
                </c:pt>
                <c:pt idx="139">
                  <c:v>1.0603642565633185</c:v>
                </c:pt>
                <c:pt idx="140">
                  <c:v>1.0190770093982326</c:v>
                </c:pt>
                <c:pt idx="141">
                  <c:v>0.56321057834898669</c:v>
                </c:pt>
                <c:pt idx="142">
                  <c:v>0.44530679327976624</c:v>
                </c:pt>
                <c:pt idx="143">
                  <c:v>0.5200673589671625</c:v>
                </c:pt>
                <c:pt idx="144">
                  <c:v>0.60072021753509219</c:v>
                </c:pt>
                <c:pt idx="145">
                  <c:v>0.4079391891891892</c:v>
                </c:pt>
                <c:pt idx="146">
                  <c:v>0.33200228180262409</c:v>
                </c:pt>
                <c:pt idx="147">
                  <c:v>0.25705329153605017</c:v>
                </c:pt>
                <c:pt idx="148">
                  <c:v>0.66075230660042583</c:v>
                </c:pt>
                <c:pt idx="149">
                  <c:v>0.52633832976445394</c:v>
                </c:pt>
                <c:pt idx="150">
                  <c:v>0.63296097490207459</c:v>
                </c:pt>
                <c:pt idx="151">
                  <c:v>0.47873029583243359</c:v>
                </c:pt>
                <c:pt idx="152">
                  <c:v>0.42778541953232463</c:v>
                </c:pt>
                <c:pt idx="153">
                  <c:v>0.48442731054073246</c:v>
                </c:pt>
                <c:pt idx="154">
                  <c:v>0.44188958451906657</c:v>
                </c:pt>
                <c:pt idx="155">
                  <c:v>0.81634221311475408</c:v>
                </c:pt>
                <c:pt idx="156">
                  <c:v>0.56696363370819336</c:v>
                </c:pt>
                <c:pt idx="157">
                  <c:v>0.34052287581699348</c:v>
                </c:pt>
                <c:pt idx="158">
                  <c:v>0.40621490078622241</c:v>
                </c:pt>
                <c:pt idx="159">
                  <c:v>0.44495203289173141</c:v>
                </c:pt>
                <c:pt idx="160">
                  <c:v>0.63693379790940763</c:v>
                </c:pt>
                <c:pt idx="161">
                  <c:v>0.25405111473626973</c:v>
                </c:pt>
                <c:pt idx="162">
                  <c:v>0.40217488990743239</c:v>
                </c:pt>
                <c:pt idx="163">
                  <c:v>0.2107520732056048</c:v>
                </c:pt>
                <c:pt idx="164">
                  <c:v>0.58431918348411038</c:v>
                </c:pt>
                <c:pt idx="165">
                  <c:v>0.35712814173877216</c:v>
                </c:pt>
                <c:pt idx="166">
                  <c:v>0.24097730373310183</c:v>
                </c:pt>
                <c:pt idx="167">
                  <c:v>0.20962566844919786</c:v>
                </c:pt>
                <c:pt idx="168">
                  <c:v>0.39182992913714049</c:v>
                </c:pt>
                <c:pt idx="169">
                  <c:v>0.37519031973715844</c:v>
                </c:pt>
                <c:pt idx="170">
                  <c:v>0.42125603864734301</c:v>
                </c:pt>
                <c:pt idx="171">
                  <c:v>0.38873751135331519</c:v>
                </c:pt>
                <c:pt idx="172">
                  <c:v>0.51652719665271962</c:v>
                </c:pt>
                <c:pt idx="173">
                  <c:v>0.46492689246714786</c:v>
                </c:pt>
                <c:pt idx="174">
                  <c:v>0.24948519654052076</c:v>
                </c:pt>
                <c:pt idx="175">
                  <c:v>0.32709064897906098</c:v>
                </c:pt>
                <c:pt idx="176">
                  <c:v>0.35263308256356535</c:v>
                </c:pt>
                <c:pt idx="177">
                  <c:v>0.75961694530108748</c:v>
                </c:pt>
                <c:pt idx="178">
                  <c:v>0.41249999999999998</c:v>
                </c:pt>
                <c:pt idx="179">
                  <c:v>0.39575394665215025</c:v>
                </c:pt>
                <c:pt idx="180">
                  <c:v>0.32065079767029625</c:v>
                </c:pt>
                <c:pt idx="181">
                  <c:v>0.3221229278941265</c:v>
                </c:pt>
                <c:pt idx="182">
                  <c:v>0.33013919003986852</c:v>
                </c:pt>
              </c:numCache>
            </c:numRef>
          </c:val>
          <c:smooth val="0"/>
        </c:ser>
        <c:ser>
          <c:idx val="0"/>
          <c:order val="1"/>
          <c:tx>
            <c:v>持仓量PCR</c:v>
          </c:tx>
          <c:marker>
            <c:symbol val="none"/>
          </c:marker>
          <c:cat>
            <c:numRef>
              <c:f>总PCR!$B$1:$GB$1</c:f>
              <c:numCache>
                <c:formatCode>yyyy\-mm\-dd</c:formatCode>
                <c:ptCount val="183"/>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pt idx="174">
                  <c:v>43360</c:v>
                </c:pt>
                <c:pt idx="175">
                  <c:v>43361</c:v>
                </c:pt>
                <c:pt idx="176">
                  <c:v>43362</c:v>
                </c:pt>
                <c:pt idx="177">
                  <c:v>43363</c:v>
                </c:pt>
                <c:pt idx="178">
                  <c:v>43364</c:v>
                </c:pt>
                <c:pt idx="179">
                  <c:v>43368</c:v>
                </c:pt>
                <c:pt idx="180">
                  <c:v>43369</c:v>
                </c:pt>
                <c:pt idx="181">
                  <c:v>43370</c:v>
                </c:pt>
                <c:pt idx="182">
                  <c:v>43371</c:v>
                </c:pt>
              </c:numCache>
            </c:numRef>
          </c:cat>
          <c:val>
            <c:numRef>
              <c:f>总PCR!$B$10:$GB$10</c:f>
              <c:numCache>
                <c:formatCode>General</c:formatCode>
                <c:ptCount val="183"/>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pt idx="100">
                  <c:v>0.37123457866515541</c:v>
                </c:pt>
                <c:pt idx="101">
                  <c:v>0.37730362080170959</c:v>
                </c:pt>
                <c:pt idx="102">
                  <c:v>0.36372173267380786</c:v>
                </c:pt>
                <c:pt idx="103">
                  <c:v>0.36583688175565016</c:v>
                </c:pt>
                <c:pt idx="104">
                  <c:v>0.33787875534176565</c:v>
                </c:pt>
                <c:pt idx="105">
                  <c:v>0.33761955366631241</c:v>
                </c:pt>
                <c:pt idx="106">
                  <c:v>0.33666233368208576</c:v>
                </c:pt>
                <c:pt idx="107">
                  <c:v>0.31878601057172118</c:v>
                </c:pt>
                <c:pt idx="108">
                  <c:v>0.31718348254391127</c:v>
                </c:pt>
                <c:pt idx="109">
                  <c:v>0.31797520871254104</c:v>
                </c:pt>
                <c:pt idx="110">
                  <c:v>0.30264899334242401</c:v>
                </c:pt>
                <c:pt idx="111">
                  <c:v>0.29789639679847663</c:v>
                </c:pt>
                <c:pt idx="112">
                  <c:v>0.29895036678632747</c:v>
                </c:pt>
                <c:pt idx="113">
                  <c:v>0.29548563611491108</c:v>
                </c:pt>
                <c:pt idx="114">
                  <c:v>0.28872794159912629</c:v>
                </c:pt>
                <c:pt idx="115">
                  <c:v>0.29033624365873145</c:v>
                </c:pt>
                <c:pt idx="116">
                  <c:v>0.28815162254850452</c:v>
                </c:pt>
                <c:pt idx="117">
                  <c:v>0.29443068954722673</c:v>
                </c:pt>
                <c:pt idx="118">
                  <c:v>0.29222153546477869</c:v>
                </c:pt>
                <c:pt idx="119">
                  <c:v>0.29049396507097514</c:v>
                </c:pt>
                <c:pt idx="120">
                  <c:v>0.27957637257943013</c:v>
                </c:pt>
                <c:pt idx="121">
                  <c:v>0.27148998412443587</c:v>
                </c:pt>
                <c:pt idx="122">
                  <c:v>0.27530519956387295</c:v>
                </c:pt>
                <c:pt idx="123">
                  <c:v>0.30394916410781303</c:v>
                </c:pt>
                <c:pt idx="124">
                  <c:v>0.33339084674114655</c:v>
                </c:pt>
                <c:pt idx="125">
                  <c:v>0.35</c:v>
                </c:pt>
                <c:pt idx="126">
                  <c:v>0.34737419371686729</c:v>
                </c:pt>
                <c:pt idx="127">
                  <c:v>0.32449044778438668</c:v>
                </c:pt>
                <c:pt idx="128">
                  <c:v>0.3046648104519169</c:v>
                </c:pt>
                <c:pt idx="129">
                  <c:v>0.30377311707521437</c:v>
                </c:pt>
                <c:pt idx="130">
                  <c:v>0.31970597203108392</c:v>
                </c:pt>
                <c:pt idx="131">
                  <c:v>0.31908069221588647</c:v>
                </c:pt>
                <c:pt idx="132">
                  <c:v>0.32364437791084499</c:v>
                </c:pt>
                <c:pt idx="133">
                  <c:v>0.31437120729540352</c:v>
                </c:pt>
                <c:pt idx="134">
                  <c:v>0.32284253699290039</c:v>
                </c:pt>
                <c:pt idx="135">
                  <c:v>0.30783704878748502</c:v>
                </c:pt>
                <c:pt idx="136">
                  <c:v>0.3091823125064122</c:v>
                </c:pt>
                <c:pt idx="137">
                  <c:v>0.30674858904054758</c:v>
                </c:pt>
                <c:pt idx="138">
                  <c:v>0.31078860898138005</c:v>
                </c:pt>
                <c:pt idx="139">
                  <c:v>0.30704505756625283</c:v>
                </c:pt>
                <c:pt idx="140">
                  <c:v>0.33584038828476687</c:v>
                </c:pt>
                <c:pt idx="141">
                  <c:v>0.37954344171923293</c:v>
                </c:pt>
                <c:pt idx="142">
                  <c:v>0.38716754963343503</c:v>
                </c:pt>
                <c:pt idx="143">
                  <c:v>0.416796570537802</c:v>
                </c:pt>
                <c:pt idx="144">
                  <c:v>0.4519590197978679</c:v>
                </c:pt>
                <c:pt idx="145">
                  <c:v>0.45213688421847903</c:v>
                </c:pt>
                <c:pt idx="146">
                  <c:v>0.45574458645461835</c:v>
                </c:pt>
                <c:pt idx="147">
                  <c:v>0.46002094382326114</c:v>
                </c:pt>
                <c:pt idx="148">
                  <c:v>0.46009006004002667</c:v>
                </c:pt>
                <c:pt idx="149">
                  <c:v>0.45970438737292668</c:v>
                </c:pt>
                <c:pt idx="150">
                  <c:v>0.46574979726263177</c:v>
                </c:pt>
                <c:pt idx="151">
                  <c:v>0.47775068327250708</c:v>
                </c:pt>
                <c:pt idx="152">
                  <c:v>0.49994283380971827</c:v>
                </c:pt>
                <c:pt idx="153">
                  <c:v>0.50298998967839181</c:v>
                </c:pt>
                <c:pt idx="154">
                  <c:v>0.5080118694362018</c:v>
                </c:pt>
                <c:pt idx="155">
                  <c:v>0.51808615586977969</c:v>
                </c:pt>
                <c:pt idx="156">
                  <c:v>0.52777596128694737</c:v>
                </c:pt>
                <c:pt idx="157">
                  <c:v>0.54395988805970152</c:v>
                </c:pt>
                <c:pt idx="158">
                  <c:v>0.54408081207567072</c:v>
                </c:pt>
                <c:pt idx="159">
                  <c:v>0.54175178959221426</c:v>
                </c:pt>
                <c:pt idx="160">
                  <c:v>0.55233959673685717</c:v>
                </c:pt>
                <c:pt idx="161">
                  <c:v>0.55750578862999722</c:v>
                </c:pt>
                <c:pt idx="162">
                  <c:v>0.52547472794736683</c:v>
                </c:pt>
                <c:pt idx="163">
                  <c:v>0.51451738275594028</c:v>
                </c:pt>
                <c:pt idx="164">
                  <c:v>0.50767093410615316</c:v>
                </c:pt>
                <c:pt idx="165">
                  <c:v>0.50059357749154154</c:v>
                </c:pt>
                <c:pt idx="166">
                  <c:v>0.49126989896052919</c:v>
                </c:pt>
                <c:pt idx="167">
                  <c:v>0.46462833873973358</c:v>
                </c:pt>
                <c:pt idx="168">
                  <c:v>0.45988772924217236</c:v>
                </c:pt>
                <c:pt idx="169">
                  <c:v>0.45248103135701334</c:v>
                </c:pt>
                <c:pt idx="170">
                  <c:v>0.44465444212106592</c:v>
                </c:pt>
                <c:pt idx="171">
                  <c:v>0.44654709598151687</c:v>
                </c:pt>
                <c:pt idx="172">
                  <c:v>0.44428485936564932</c:v>
                </c:pt>
                <c:pt idx="173">
                  <c:v>0.44492259319459621</c:v>
                </c:pt>
                <c:pt idx="174">
                  <c:v>0.4356320182392327</c:v>
                </c:pt>
                <c:pt idx="175">
                  <c:v>0.43357015064692611</c:v>
                </c:pt>
                <c:pt idx="176">
                  <c:v>0.41874002680794026</c:v>
                </c:pt>
                <c:pt idx="177">
                  <c:v>0.40705630518711061</c:v>
                </c:pt>
                <c:pt idx="178">
                  <c:v>0.40158524049126226</c:v>
                </c:pt>
                <c:pt idx="179">
                  <c:v>0.39876489941211368</c:v>
                </c:pt>
                <c:pt idx="180">
                  <c:v>0.38674377802326337</c:v>
                </c:pt>
                <c:pt idx="181">
                  <c:v>0.40239440867546977</c:v>
                </c:pt>
                <c:pt idx="182">
                  <c:v>0.39828680040068837</c:v>
                </c:pt>
              </c:numCache>
            </c:numRef>
          </c:val>
          <c:smooth val="0"/>
        </c:ser>
        <c:dLbls>
          <c:showLegendKey val="0"/>
          <c:showVal val="0"/>
          <c:showCatName val="0"/>
          <c:showSerName val="0"/>
          <c:showPercent val="0"/>
          <c:showBubbleSize val="0"/>
        </c:dLbls>
        <c:marker val="1"/>
        <c:smooth val="0"/>
        <c:axId val="266082560"/>
        <c:axId val="266084352"/>
      </c:lineChart>
      <c:catAx>
        <c:axId val="266082560"/>
        <c:scaling>
          <c:orientation val="minMax"/>
        </c:scaling>
        <c:delete val="0"/>
        <c:axPos val="b"/>
        <c:numFmt formatCode="yyyy\-mm\-dd" sourceLinked="1"/>
        <c:majorTickMark val="out"/>
        <c:minorTickMark val="none"/>
        <c:tickLblPos val="nextTo"/>
        <c:crossAx val="266084352"/>
        <c:crosses val="autoZero"/>
        <c:auto val="0"/>
        <c:lblAlgn val="ctr"/>
        <c:lblOffset val="100"/>
        <c:tickLblSkip val="4"/>
        <c:noMultiLvlLbl val="1"/>
      </c:catAx>
      <c:valAx>
        <c:axId val="266084352"/>
        <c:scaling>
          <c:orientation val="minMax"/>
        </c:scaling>
        <c:delete val="0"/>
        <c:axPos val="l"/>
        <c:majorGridlines/>
        <c:numFmt formatCode="General" sourceLinked="1"/>
        <c:majorTickMark val="out"/>
        <c:minorTickMark val="none"/>
        <c:tickLblPos val="nextTo"/>
        <c:crossAx val="266082560"/>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平值期权隐波!$A$4:$A$207</c:f>
              <c:numCache>
                <c:formatCode>yyyy\-mm\-dd</c:formatCode>
                <c:ptCount val="204"/>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pt idx="195">
                  <c:v>43360</c:v>
                </c:pt>
                <c:pt idx="196">
                  <c:v>43361</c:v>
                </c:pt>
                <c:pt idx="197">
                  <c:v>43362</c:v>
                </c:pt>
                <c:pt idx="198">
                  <c:v>43363</c:v>
                </c:pt>
                <c:pt idx="199">
                  <c:v>43364</c:v>
                </c:pt>
                <c:pt idx="200">
                  <c:v>43368</c:v>
                </c:pt>
                <c:pt idx="201">
                  <c:v>43369</c:v>
                </c:pt>
                <c:pt idx="202">
                  <c:v>43370</c:v>
                </c:pt>
                <c:pt idx="203">
                  <c:v>43371</c:v>
                </c:pt>
              </c:numCache>
            </c:numRef>
          </c:cat>
          <c:val>
            <c:numRef>
              <c:f>平值期权隐波!$AI$4:$AI$207</c:f>
              <c:numCache>
                <c:formatCode>General</c:formatCode>
                <c:ptCount val="204"/>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pt idx="160">
                  <c:v>0.1345467197458074</c:v>
                </c:pt>
                <c:pt idx="161">
                  <c:v>0.14489211561372503</c:v>
                </c:pt>
                <c:pt idx="162">
                  <c:v>0.16886162400197238</c:v>
                </c:pt>
                <c:pt idx="163">
                  <c:v>0.16745223844682797</c:v>
                </c:pt>
                <c:pt idx="164">
                  <c:v>0.16205626579701901</c:v>
                </c:pt>
                <c:pt idx="165">
                  <c:v>0.15700468047317118</c:v>
                </c:pt>
                <c:pt idx="166">
                  <c:v>0.16493037968162449</c:v>
                </c:pt>
                <c:pt idx="167">
                  <c:v>0.16031500240946189</c:v>
                </c:pt>
                <c:pt idx="168">
                  <c:v>0.16305772563371806</c:v>
                </c:pt>
                <c:pt idx="169">
                  <c:v>0.16514083570560439</c:v>
                </c:pt>
                <c:pt idx="170">
                  <c:v>0.15507833022514358</c:v>
                </c:pt>
                <c:pt idx="171">
                  <c:v>0.16605667368413882</c:v>
                </c:pt>
                <c:pt idx="172">
                  <c:v>0.16897538663269951</c:v>
                </c:pt>
                <c:pt idx="173">
                  <c:v>0.17606747226452452</c:v>
                </c:pt>
                <c:pt idx="174">
                  <c:v>0.172863834925089</c:v>
                </c:pt>
                <c:pt idx="175">
                  <c:v>0.17239020270062611</c:v>
                </c:pt>
                <c:pt idx="176">
                  <c:v>0.17220089882208037</c:v>
                </c:pt>
                <c:pt idx="177">
                  <c:v>0.17419928110323846</c:v>
                </c:pt>
                <c:pt idx="178">
                  <c:v>0.17490167538244278</c:v>
                </c:pt>
                <c:pt idx="179">
                  <c:v>0.17102768863083792</c:v>
                </c:pt>
                <c:pt idx="180">
                  <c:v>0.17693971700496969</c:v>
                </c:pt>
                <c:pt idx="181">
                  <c:v>0.17875899522691965</c:v>
                </c:pt>
                <c:pt idx="182">
                  <c:v>0.17180226395441217</c:v>
                </c:pt>
                <c:pt idx="183">
                  <c:v>0.17474423010688273</c:v>
                </c:pt>
                <c:pt idx="184">
                  <c:v>0.1714664894780889</c:v>
                </c:pt>
                <c:pt idx="185">
                  <c:v>0.17352841015173123</c:v>
                </c:pt>
                <c:pt idx="186">
                  <c:v>0.17284686254492032</c:v>
                </c:pt>
                <c:pt idx="187">
                  <c:v>0.16858106564041225</c:v>
                </c:pt>
                <c:pt idx="188">
                  <c:v>0.16186794539265331</c:v>
                </c:pt>
                <c:pt idx="189">
                  <c:v>0.16221199744332582</c:v>
                </c:pt>
                <c:pt idx="190">
                  <c:v>0.16712920443147419</c:v>
                </c:pt>
                <c:pt idx="191">
                  <c:v>0.163073893353194</c:v>
                </c:pt>
                <c:pt idx="192">
                  <c:v>0.16400089227356013</c:v>
                </c:pt>
                <c:pt idx="193">
                  <c:v>0.16236030832991</c:v>
                </c:pt>
                <c:pt idx="194">
                  <c:v>0.16176033692611377</c:v>
                </c:pt>
                <c:pt idx="195">
                  <c:v>0.16504186244038865</c:v>
                </c:pt>
                <c:pt idx="196">
                  <c:v>0.16939647004358468</c:v>
                </c:pt>
                <c:pt idx="197">
                  <c:v>0.16772964522067457</c:v>
                </c:pt>
                <c:pt idx="198">
                  <c:v>0.16583764206333085</c:v>
                </c:pt>
                <c:pt idx="199">
                  <c:v>0.16347299760626624</c:v>
                </c:pt>
                <c:pt idx="200">
                  <c:v>0.16621694272268564</c:v>
                </c:pt>
                <c:pt idx="201">
                  <c:v>0.1684637416410632</c:v>
                </c:pt>
                <c:pt idx="202">
                  <c:v>0.16420566351875662</c:v>
                </c:pt>
                <c:pt idx="203">
                  <c:v>0.17317648285705595</c:v>
                </c:pt>
              </c:numCache>
            </c:numRef>
          </c:val>
          <c:smooth val="0"/>
        </c:ser>
        <c:ser>
          <c:idx val="1"/>
          <c:order val="1"/>
          <c:tx>
            <c:v>30天历史波动率</c:v>
          </c:tx>
          <c:spPr>
            <a:ln w="38100"/>
          </c:spPr>
          <c:marker>
            <c:symbol val="none"/>
          </c:marker>
          <c:cat>
            <c:numRef>
              <c:f>平值期权隐波!$A$4:$A$207</c:f>
              <c:numCache>
                <c:formatCode>yyyy\-mm\-dd</c:formatCode>
                <c:ptCount val="204"/>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pt idx="195">
                  <c:v>43360</c:v>
                </c:pt>
                <c:pt idx="196">
                  <c:v>43361</c:v>
                </c:pt>
                <c:pt idx="197">
                  <c:v>43362</c:v>
                </c:pt>
                <c:pt idx="198">
                  <c:v>43363</c:v>
                </c:pt>
                <c:pt idx="199">
                  <c:v>43364</c:v>
                </c:pt>
                <c:pt idx="200">
                  <c:v>43368</c:v>
                </c:pt>
                <c:pt idx="201">
                  <c:v>43369</c:v>
                </c:pt>
                <c:pt idx="202">
                  <c:v>43370</c:v>
                </c:pt>
                <c:pt idx="203">
                  <c:v>43371</c:v>
                </c:pt>
              </c:numCache>
            </c:numRef>
          </c:cat>
          <c:val>
            <c:numRef>
              <c:f>平值期权隐波!$AJ$4:$AJ$207</c:f>
              <c:numCache>
                <c:formatCode>General</c:formatCode>
                <c:ptCount val="204"/>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0.17673271452222405</c:v>
                </c:pt>
                <c:pt idx="160">
                  <c:v>0.16994736853780701</c:v>
                </c:pt>
                <c:pt idx="161">
                  <c:v>0.16369277509115326</c:v>
                </c:pt>
                <c:pt idx="162">
                  <c:v>0.16572436131415158</c:v>
                </c:pt>
                <c:pt idx="163">
                  <c:v>0.16954731517690672</c:v>
                </c:pt>
                <c:pt idx="164">
                  <c:v>0.17511569668652135</c:v>
                </c:pt>
                <c:pt idx="165">
                  <c:v>0.17718054892289703</c:v>
                </c:pt>
                <c:pt idx="166">
                  <c:v>0.17770384423654012</c:v>
                </c:pt>
                <c:pt idx="167">
                  <c:v>0.17689061188324212</c:v>
                </c:pt>
                <c:pt idx="168">
                  <c:v>0.17587110685352153</c:v>
                </c:pt>
                <c:pt idx="169">
                  <c:v>0.17284942171724271</c:v>
                </c:pt>
                <c:pt idx="170">
                  <c:v>0.17304972227466692</c:v>
                </c:pt>
                <c:pt idx="171">
                  <c:v>0.17969657255677779</c:v>
                </c:pt>
                <c:pt idx="172">
                  <c:v>0.18096824312757714</c:v>
                </c:pt>
                <c:pt idx="173">
                  <c:v>0.17939522438500949</c:v>
                </c:pt>
                <c:pt idx="174">
                  <c:v>0.18223611829467543</c:v>
                </c:pt>
                <c:pt idx="175">
                  <c:v>0.18454518777536896</c:v>
                </c:pt>
                <c:pt idx="176">
                  <c:v>0.18223172756605205</c:v>
                </c:pt>
                <c:pt idx="177">
                  <c:v>0.17997614956663815</c:v>
                </c:pt>
                <c:pt idx="178">
                  <c:v>0.18089147227153318</c:v>
                </c:pt>
                <c:pt idx="179">
                  <c:v>0.18137084264320344</c:v>
                </c:pt>
                <c:pt idx="180">
                  <c:v>0.17408920139986106</c:v>
                </c:pt>
                <c:pt idx="181">
                  <c:v>0.16928309319663215</c:v>
                </c:pt>
                <c:pt idx="182">
                  <c:v>0.17135777070629257</c:v>
                </c:pt>
                <c:pt idx="183">
                  <c:v>0.16430606869131253</c:v>
                </c:pt>
                <c:pt idx="184">
                  <c:v>0.15858229933955717</c:v>
                </c:pt>
                <c:pt idx="185">
                  <c:v>0.15960803744456464</c:v>
                </c:pt>
                <c:pt idx="186">
                  <c:v>0.1562207436552325</c:v>
                </c:pt>
                <c:pt idx="187">
                  <c:v>0.15312800893534564</c:v>
                </c:pt>
                <c:pt idx="188">
                  <c:v>0.15295180276726222</c:v>
                </c:pt>
                <c:pt idx="189">
                  <c:v>0.15279977200334555</c:v>
                </c:pt>
                <c:pt idx="190">
                  <c:v>0.15414001790096096</c:v>
                </c:pt>
                <c:pt idx="191">
                  <c:v>0.15279645851372939</c:v>
                </c:pt>
                <c:pt idx="192">
                  <c:v>0.15212597903670755</c:v>
                </c:pt>
                <c:pt idx="193">
                  <c:v>0.15022617316373985</c:v>
                </c:pt>
                <c:pt idx="194">
                  <c:v>0.14357189822605443</c:v>
                </c:pt>
                <c:pt idx="195">
                  <c:v>0.1415958383243926</c:v>
                </c:pt>
                <c:pt idx="196">
                  <c:v>0.14185185863205901</c:v>
                </c:pt>
                <c:pt idx="197">
                  <c:v>0.14167851418681257</c:v>
                </c:pt>
                <c:pt idx="198">
                  <c:v>0.14194958578271591</c:v>
                </c:pt>
                <c:pt idx="199">
                  <c:v>0.1426602737512998</c:v>
                </c:pt>
                <c:pt idx="200">
                  <c:v>0.14213142765308084</c:v>
                </c:pt>
                <c:pt idx="201">
                  <c:v>0.1353875487690554</c:v>
                </c:pt>
                <c:pt idx="202">
                  <c:v>0.12985345823969396</c:v>
                </c:pt>
                <c:pt idx="203">
                  <c:v>0.12976816316008635</c:v>
                </c:pt>
              </c:numCache>
            </c:numRef>
          </c:val>
          <c:smooth val="0"/>
        </c:ser>
        <c:dLbls>
          <c:showLegendKey val="0"/>
          <c:showVal val="0"/>
          <c:showCatName val="0"/>
          <c:showSerName val="0"/>
          <c:showPercent val="0"/>
          <c:showBubbleSize val="0"/>
        </c:dLbls>
        <c:marker val="1"/>
        <c:smooth val="0"/>
        <c:axId val="278865792"/>
        <c:axId val="278867328"/>
      </c:lineChart>
      <c:catAx>
        <c:axId val="278865792"/>
        <c:scaling>
          <c:orientation val="minMax"/>
        </c:scaling>
        <c:delete val="0"/>
        <c:axPos val="b"/>
        <c:numFmt formatCode="yyyy\-mm\-dd" sourceLinked="1"/>
        <c:majorTickMark val="out"/>
        <c:minorTickMark val="none"/>
        <c:tickLblPos val="nextTo"/>
        <c:crossAx val="278867328"/>
        <c:crosses val="autoZero"/>
        <c:auto val="0"/>
        <c:lblAlgn val="ctr"/>
        <c:lblOffset val="100"/>
        <c:tickLblSkip val="4"/>
        <c:tickMarkSkip val="4"/>
        <c:noMultiLvlLbl val="1"/>
      </c:catAx>
      <c:valAx>
        <c:axId val="278867328"/>
        <c:scaling>
          <c:orientation val="minMax"/>
        </c:scaling>
        <c:delete val="0"/>
        <c:axPos val="l"/>
        <c:majorGridlines/>
        <c:numFmt formatCode="General" sourceLinked="1"/>
        <c:majorTickMark val="out"/>
        <c:minorTickMark val="none"/>
        <c:tickLblPos val="nextTo"/>
        <c:crossAx val="278865792"/>
        <c:crosses val="autoZero"/>
        <c:crossBetween val="between"/>
      </c:valAx>
    </c:plotArea>
    <c:legend>
      <c:legendPos val="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257143" cy="38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71429" cy="3800000"/>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6386</TotalTime>
  <Pages>1</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柳晓怡</cp:lastModifiedBy>
  <cp:revision>81</cp:revision>
  <cp:lastPrinted>2018-06-11T02:38:00Z</cp:lastPrinted>
  <dcterms:created xsi:type="dcterms:W3CDTF">2018-03-20T02:10:00Z</dcterms:created>
  <dcterms:modified xsi:type="dcterms:W3CDTF">2018-10-08T02:28:00Z</dcterms:modified>
</cp:coreProperties>
</file>